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B2F2" w14:textId="1C30B190" w:rsidR="00023D49" w:rsidRPr="00123279" w:rsidRDefault="00A26AA7" w:rsidP="00287D7B">
      <w:pPr>
        <w:jc w:val="center"/>
        <w:rPr>
          <w:b/>
          <w:sz w:val="40"/>
          <w:szCs w:val="40"/>
          <w:u w:val="single"/>
        </w:rPr>
      </w:pPr>
      <w:r w:rsidRPr="00123279">
        <w:rPr>
          <w:b/>
          <w:sz w:val="40"/>
          <w:szCs w:val="40"/>
          <w:u w:val="single"/>
        </w:rPr>
        <w:t xml:space="preserve">RESOLUTION NO. </w:t>
      </w:r>
      <w:r w:rsidR="00971C9D" w:rsidRPr="00123279">
        <w:rPr>
          <w:b/>
          <w:sz w:val="40"/>
          <w:szCs w:val="40"/>
          <w:u w:val="single"/>
        </w:rPr>
        <w:t>202</w:t>
      </w:r>
      <w:r w:rsidR="00C239A4" w:rsidRPr="00123279">
        <w:rPr>
          <w:b/>
          <w:sz w:val="40"/>
          <w:szCs w:val="40"/>
          <w:u w:val="single"/>
        </w:rPr>
        <w:t>6</w:t>
      </w:r>
      <w:r w:rsidR="00000EAD" w:rsidRPr="00123279">
        <w:rPr>
          <w:b/>
          <w:sz w:val="40"/>
          <w:szCs w:val="40"/>
          <w:u w:val="single"/>
        </w:rPr>
        <w:t>/01</w:t>
      </w:r>
    </w:p>
    <w:p w14:paraId="6062B2F3" w14:textId="77777777" w:rsidR="00886FCC" w:rsidRDefault="0021660E" w:rsidP="00287D7B">
      <w:pPr>
        <w:jc w:val="center"/>
        <w:rPr>
          <w:b/>
          <w:sz w:val="24"/>
          <w:szCs w:val="24"/>
        </w:rPr>
      </w:pPr>
      <w:r w:rsidRPr="00472028">
        <w:rPr>
          <w:b/>
          <w:sz w:val="24"/>
          <w:szCs w:val="24"/>
        </w:rPr>
        <w:tab/>
      </w:r>
    </w:p>
    <w:p w14:paraId="71E9DA5E" w14:textId="77777777" w:rsidR="008E5746" w:rsidRPr="00472028" w:rsidRDefault="008E5746" w:rsidP="00287D7B">
      <w:pPr>
        <w:jc w:val="center"/>
        <w:rPr>
          <w:b/>
          <w:sz w:val="24"/>
          <w:szCs w:val="24"/>
        </w:rPr>
      </w:pPr>
    </w:p>
    <w:p w14:paraId="6062B2F4" w14:textId="77777777" w:rsidR="000220ED" w:rsidRPr="00472028" w:rsidRDefault="000D7284" w:rsidP="00287D7B">
      <w:pPr>
        <w:jc w:val="center"/>
        <w:rPr>
          <w:b/>
          <w:sz w:val="24"/>
          <w:szCs w:val="24"/>
          <w:u w:val="single"/>
        </w:rPr>
      </w:pPr>
      <w:r w:rsidRPr="00472028">
        <w:rPr>
          <w:b/>
          <w:sz w:val="24"/>
          <w:szCs w:val="24"/>
          <w:u w:val="single"/>
        </w:rPr>
        <w:t>A PRELIMINARY DECLARATORY RESOLUTION DESIGNATING AN</w:t>
      </w:r>
    </w:p>
    <w:p w14:paraId="6062B2F5" w14:textId="77777777" w:rsidR="000D7284" w:rsidRPr="00472028" w:rsidRDefault="000D7284" w:rsidP="00287D7B">
      <w:pPr>
        <w:jc w:val="center"/>
        <w:rPr>
          <w:b/>
          <w:sz w:val="24"/>
          <w:szCs w:val="24"/>
          <w:u w:val="single"/>
        </w:rPr>
      </w:pPr>
      <w:r w:rsidRPr="00472028">
        <w:rPr>
          <w:b/>
          <w:sz w:val="24"/>
          <w:szCs w:val="24"/>
          <w:u w:val="single"/>
        </w:rPr>
        <w:t>ECONOMIC</w:t>
      </w:r>
      <w:r w:rsidR="000220ED" w:rsidRPr="00472028">
        <w:rPr>
          <w:b/>
          <w:sz w:val="24"/>
          <w:szCs w:val="24"/>
          <w:u w:val="single"/>
        </w:rPr>
        <w:t xml:space="preserve"> </w:t>
      </w:r>
      <w:r w:rsidRPr="00472028">
        <w:rPr>
          <w:b/>
          <w:sz w:val="24"/>
          <w:szCs w:val="24"/>
          <w:u w:val="single"/>
        </w:rPr>
        <w:t>REVITALIZATION AREA AND APPROVING TAX ABATEMENT</w:t>
      </w:r>
    </w:p>
    <w:p w14:paraId="6062B2F6" w14:textId="77777777" w:rsidR="00886FCC" w:rsidRDefault="00886FCC" w:rsidP="00287D7B">
      <w:pPr>
        <w:jc w:val="center"/>
        <w:rPr>
          <w:b/>
          <w:sz w:val="24"/>
          <w:szCs w:val="24"/>
        </w:rPr>
      </w:pPr>
    </w:p>
    <w:p w14:paraId="3211C111" w14:textId="77777777" w:rsidR="008E5746" w:rsidRPr="00472028" w:rsidRDefault="008E5746" w:rsidP="00287D7B">
      <w:pPr>
        <w:jc w:val="center"/>
        <w:rPr>
          <w:b/>
          <w:sz w:val="24"/>
          <w:szCs w:val="24"/>
        </w:rPr>
      </w:pPr>
    </w:p>
    <w:p w14:paraId="6062B2F7" w14:textId="58A7B162" w:rsidR="00287D7B" w:rsidRPr="00472028" w:rsidRDefault="00287D7B" w:rsidP="00287D7B">
      <w:pPr>
        <w:rPr>
          <w:sz w:val="24"/>
          <w:szCs w:val="24"/>
        </w:rPr>
      </w:pPr>
      <w:r w:rsidRPr="00472028">
        <w:rPr>
          <w:sz w:val="24"/>
          <w:szCs w:val="24"/>
        </w:rPr>
        <w:tab/>
      </w:r>
      <w:r w:rsidRPr="00472028">
        <w:rPr>
          <w:b/>
          <w:sz w:val="24"/>
          <w:szCs w:val="24"/>
        </w:rPr>
        <w:t>WHEREAS,</w:t>
      </w:r>
      <w:r w:rsidR="0021660E" w:rsidRPr="00472028">
        <w:rPr>
          <w:b/>
          <w:sz w:val="24"/>
          <w:szCs w:val="24"/>
        </w:rPr>
        <w:t xml:space="preserve"> </w:t>
      </w:r>
      <w:r w:rsidR="000D7284" w:rsidRPr="00472028">
        <w:rPr>
          <w:sz w:val="24"/>
          <w:szCs w:val="24"/>
        </w:rPr>
        <w:t xml:space="preserve">State law (I.C. 6-1.1-12.1-1 et seq.) has granted to the Common Council of the City of Greenfield, Indiana (the “Council”) the right and opportunity to abate the payment of tax on </w:t>
      </w:r>
      <w:r w:rsidR="00826C33">
        <w:rPr>
          <w:sz w:val="24"/>
          <w:szCs w:val="24"/>
        </w:rPr>
        <w:t>personal</w:t>
      </w:r>
      <w:r w:rsidR="000D7284" w:rsidRPr="00472028">
        <w:rPr>
          <w:sz w:val="24"/>
          <w:szCs w:val="24"/>
        </w:rPr>
        <w:t xml:space="preserve"> property</w:t>
      </w:r>
      <w:r w:rsidR="00826C33">
        <w:rPr>
          <w:sz w:val="24"/>
          <w:szCs w:val="24"/>
        </w:rPr>
        <w:t xml:space="preserve"> investments</w:t>
      </w:r>
      <w:r w:rsidR="000D7284" w:rsidRPr="00472028">
        <w:rPr>
          <w:sz w:val="24"/>
          <w:szCs w:val="24"/>
        </w:rPr>
        <w:t xml:space="preserve"> </w:t>
      </w:r>
      <w:r w:rsidR="00826C33">
        <w:rPr>
          <w:sz w:val="24"/>
          <w:szCs w:val="24"/>
        </w:rPr>
        <w:t>for manufacturing, distribution,</w:t>
      </w:r>
      <w:r w:rsidR="000D7284" w:rsidRPr="00472028">
        <w:rPr>
          <w:sz w:val="24"/>
          <w:szCs w:val="24"/>
        </w:rPr>
        <w:t xml:space="preserve"> </w:t>
      </w:r>
      <w:r w:rsidR="001815E1">
        <w:rPr>
          <w:sz w:val="24"/>
          <w:szCs w:val="24"/>
        </w:rPr>
        <w:t>research and development</w:t>
      </w:r>
      <w:r w:rsidR="000D7284" w:rsidRPr="00472028">
        <w:rPr>
          <w:sz w:val="24"/>
          <w:szCs w:val="24"/>
        </w:rPr>
        <w:t xml:space="preserve"> equipment</w:t>
      </w:r>
      <w:r w:rsidR="00826C33">
        <w:rPr>
          <w:sz w:val="24"/>
          <w:szCs w:val="24"/>
        </w:rPr>
        <w:t>,</w:t>
      </w:r>
      <w:r w:rsidR="001815E1">
        <w:rPr>
          <w:sz w:val="24"/>
          <w:szCs w:val="24"/>
        </w:rPr>
        <w:t xml:space="preserve"> and associated information technology equipment</w:t>
      </w:r>
      <w:r w:rsidR="000D7284" w:rsidRPr="00472028">
        <w:rPr>
          <w:sz w:val="24"/>
          <w:szCs w:val="24"/>
        </w:rPr>
        <w:t xml:space="preserve"> located on said real estate </w:t>
      </w:r>
      <w:r w:rsidR="00CE3727" w:rsidRPr="00472028">
        <w:rPr>
          <w:sz w:val="24"/>
          <w:szCs w:val="24"/>
        </w:rPr>
        <w:t>or installed in an area declared by the Council to be an Economic Revitalization Area (“ERA”)</w:t>
      </w:r>
      <w:r w:rsidR="00A26AA7" w:rsidRPr="00472028">
        <w:rPr>
          <w:sz w:val="24"/>
          <w:szCs w:val="24"/>
        </w:rPr>
        <w:t>;</w:t>
      </w:r>
      <w:r w:rsidR="009D5D05" w:rsidRPr="00472028">
        <w:rPr>
          <w:sz w:val="24"/>
          <w:szCs w:val="24"/>
        </w:rPr>
        <w:t xml:space="preserve"> and</w:t>
      </w:r>
    </w:p>
    <w:p w14:paraId="6062B2F8" w14:textId="77777777" w:rsidR="009D5D05" w:rsidRPr="00472028" w:rsidRDefault="009D5D05" w:rsidP="00287D7B">
      <w:pPr>
        <w:rPr>
          <w:sz w:val="24"/>
          <w:szCs w:val="24"/>
        </w:rPr>
      </w:pPr>
    </w:p>
    <w:p w14:paraId="6062B2F9" w14:textId="077B7227" w:rsidR="009D5D05" w:rsidRPr="00472028" w:rsidRDefault="009D5D05" w:rsidP="00287D7B">
      <w:pPr>
        <w:rPr>
          <w:sz w:val="24"/>
          <w:szCs w:val="24"/>
        </w:rPr>
      </w:pPr>
      <w:r w:rsidRPr="00472028">
        <w:rPr>
          <w:sz w:val="24"/>
          <w:szCs w:val="24"/>
        </w:rPr>
        <w:tab/>
      </w:r>
      <w:r w:rsidRPr="00472028">
        <w:rPr>
          <w:b/>
          <w:sz w:val="24"/>
          <w:szCs w:val="24"/>
        </w:rPr>
        <w:t xml:space="preserve">WHEREAS, </w:t>
      </w:r>
      <w:r w:rsidR="00A51ABB">
        <w:rPr>
          <w:bCs/>
          <w:sz w:val="24"/>
          <w:szCs w:val="24"/>
        </w:rPr>
        <w:t>West Pharmaceuticals</w:t>
      </w:r>
      <w:r w:rsidR="00CE3727" w:rsidRPr="00472028">
        <w:rPr>
          <w:sz w:val="24"/>
          <w:szCs w:val="24"/>
        </w:rPr>
        <w:t xml:space="preserve"> (“</w:t>
      </w:r>
      <w:r w:rsidR="00A51ABB">
        <w:rPr>
          <w:sz w:val="24"/>
          <w:szCs w:val="24"/>
        </w:rPr>
        <w:t>West</w:t>
      </w:r>
      <w:r w:rsidR="00CE3727" w:rsidRPr="00472028">
        <w:rPr>
          <w:sz w:val="24"/>
          <w:szCs w:val="24"/>
        </w:rPr>
        <w:t>”) has applied to the Council to declare the real estate described in Exhibit A attached hereto, an ERA</w:t>
      </w:r>
      <w:r w:rsidR="00DB0B85" w:rsidRPr="00472028">
        <w:rPr>
          <w:sz w:val="24"/>
          <w:szCs w:val="24"/>
        </w:rPr>
        <w:t>; and</w:t>
      </w:r>
    </w:p>
    <w:p w14:paraId="6062B2FA" w14:textId="77777777" w:rsidR="009D5D05" w:rsidRPr="00472028" w:rsidRDefault="009D5D05" w:rsidP="00287D7B">
      <w:pPr>
        <w:rPr>
          <w:sz w:val="24"/>
          <w:szCs w:val="24"/>
        </w:rPr>
      </w:pPr>
    </w:p>
    <w:p w14:paraId="6062B2FB" w14:textId="2FF5332A" w:rsidR="00F53EDF" w:rsidRPr="00472028" w:rsidRDefault="00F53EDF" w:rsidP="00287D7B">
      <w:pPr>
        <w:rPr>
          <w:sz w:val="24"/>
          <w:szCs w:val="24"/>
        </w:rPr>
      </w:pPr>
      <w:r w:rsidRPr="00472028">
        <w:rPr>
          <w:sz w:val="24"/>
          <w:szCs w:val="24"/>
        </w:rPr>
        <w:tab/>
      </w:r>
      <w:r w:rsidR="00DB0B85" w:rsidRPr="00472028">
        <w:rPr>
          <w:b/>
          <w:sz w:val="24"/>
          <w:szCs w:val="24"/>
        </w:rPr>
        <w:t>WHEREAS</w:t>
      </w:r>
      <w:r w:rsidRPr="00472028">
        <w:rPr>
          <w:b/>
          <w:sz w:val="24"/>
          <w:szCs w:val="24"/>
        </w:rPr>
        <w:t xml:space="preserve">, </w:t>
      </w:r>
      <w:r w:rsidR="00A51ABB" w:rsidRPr="00EB6E87">
        <w:rPr>
          <w:bCs/>
          <w:sz w:val="24"/>
          <w:szCs w:val="24"/>
        </w:rPr>
        <w:t>West</w:t>
      </w:r>
      <w:r w:rsidR="001815E1">
        <w:rPr>
          <w:bCs/>
          <w:sz w:val="24"/>
          <w:szCs w:val="24"/>
        </w:rPr>
        <w:t xml:space="preserve"> </w:t>
      </w:r>
      <w:r w:rsidR="005A0192" w:rsidRPr="00472028">
        <w:rPr>
          <w:sz w:val="24"/>
          <w:szCs w:val="24"/>
        </w:rPr>
        <w:t xml:space="preserve">has filed </w:t>
      </w:r>
      <w:r w:rsidR="001815E1">
        <w:rPr>
          <w:sz w:val="24"/>
          <w:szCs w:val="24"/>
        </w:rPr>
        <w:t>a</w:t>
      </w:r>
      <w:r w:rsidR="002804DA" w:rsidRPr="002804DA">
        <w:rPr>
          <w:sz w:val="24"/>
          <w:szCs w:val="24"/>
        </w:rPr>
        <w:t xml:space="preserve"> </w:t>
      </w:r>
      <w:r w:rsidR="002804DA">
        <w:rPr>
          <w:sz w:val="24"/>
          <w:szCs w:val="24"/>
        </w:rPr>
        <w:t xml:space="preserve">Statement of </w:t>
      </w:r>
      <w:r w:rsidR="005A0192" w:rsidRPr="00472028">
        <w:rPr>
          <w:sz w:val="24"/>
          <w:szCs w:val="24"/>
        </w:rPr>
        <w:t>Benefits Personal Property (SB-1</w:t>
      </w:r>
      <w:r w:rsidR="001815E1">
        <w:rPr>
          <w:sz w:val="24"/>
          <w:szCs w:val="24"/>
        </w:rPr>
        <w:t>/</w:t>
      </w:r>
      <w:r w:rsidR="005A0192" w:rsidRPr="00472028">
        <w:rPr>
          <w:sz w:val="24"/>
          <w:szCs w:val="24"/>
        </w:rPr>
        <w:t>PP)</w:t>
      </w:r>
      <w:r w:rsidR="001815E1">
        <w:rPr>
          <w:sz w:val="24"/>
          <w:szCs w:val="24"/>
        </w:rPr>
        <w:t xml:space="preserve"> </w:t>
      </w:r>
      <w:r w:rsidR="002804DA">
        <w:rPr>
          <w:sz w:val="24"/>
          <w:szCs w:val="24"/>
        </w:rPr>
        <w:t xml:space="preserve">attached hereto and incorporated by reference herein as Exhibit </w:t>
      </w:r>
      <w:r w:rsidR="00A51ABB">
        <w:rPr>
          <w:sz w:val="24"/>
          <w:szCs w:val="24"/>
        </w:rPr>
        <w:t>B with respect to certain personal property all of which is incorporated by reference herein with respect to the investment in certain research and development equipment</w:t>
      </w:r>
      <w:r w:rsidR="00826C33">
        <w:rPr>
          <w:sz w:val="24"/>
          <w:szCs w:val="24"/>
        </w:rPr>
        <w:t>,</w:t>
      </w:r>
      <w:r w:rsidR="00A51ABB">
        <w:rPr>
          <w:sz w:val="24"/>
          <w:szCs w:val="24"/>
        </w:rPr>
        <w:t xml:space="preserve"> associated manufacturing</w:t>
      </w:r>
      <w:r w:rsidR="00826C33">
        <w:rPr>
          <w:sz w:val="24"/>
          <w:szCs w:val="24"/>
        </w:rPr>
        <w:t xml:space="preserve"> and distribution equipment,</w:t>
      </w:r>
      <w:r w:rsidR="00A51ABB">
        <w:rPr>
          <w:sz w:val="24"/>
          <w:szCs w:val="24"/>
        </w:rPr>
        <w:t xml:space="preserve"> and information technology equipment (the “Personal Property”)</w:t>
      </w:r>
      <w:r w:rsidR="002804DA">
        <w:rPr>
          <w:sz w:val="24"/>
          <w:szCs w:val="24"/>
        </w:rPr>
        <w:t xml:space="preserve"> </w:t>
      </w:r>
      <w:r w:rsidR="005A0192" w:rsidRPr="00472028">
        <w:rPr>
          <w:sz w:val="24"/>
          <w:szCs w:val="24"/>
        </w:rPr>
        <w:t xml:space="preserve">describing and seeking tax abatement on </w:t>
      </w:r>
      <w:r w:rsidR="00EB6E87">
        <w:rPr>
          <w:sz w:val="24"/>
          <w:szCs w:val="24"/>
        </w:rPr>
        <w:t>the</w:t>
      </w:r>
      <w:r w:rsidR="005A0192" w:rsidRPr="00472028">
        <w:rPr>
          <w:sz w:val="24"/>
          <w:szCs w:val="24"/>
        </w:rPr>
        <w:t xml:space="preserve"> proposed Personal Property to be located within the area described in Exhibit A</w:t>
      </w:r>
      <w:r w:rsidR="00B34402" w:rsidRPr="00472028">
        <w:rPr>
          <w:sz w:val="24"/>
          <w:szCs w:val="24"/>
        </w:rPr>
        <w:t>; and</w:t>
      </w:r>
    </w:p>
    <w:p w14:paraId="6062B2FC" w14:textId="77777777" w:rsidR="00DB0B85" w:rsidRPr="00472028" w:rsidRDefault="00DB0B85" w:rsidP="00287D7B">
      <w:pPr>
        <w:rPr>
          <w:sz w:val="24"/>
          <w:szCs w:val="24"/>
        </w:rPr>
      </w:pPr>
    </w:p>
    <w:p w14:paraId="6062B2FD" w14:textId="4A920786" w:rsidR="00DB0B85" w:rsidRPr="00472028" w:rsidRDefault="00DB0B85" w:rsidP="00287D7B">
      <w:pPr>
        <w:rPr>
          <w:sz w:val="24"/>
          <w:szCs w:val="24"/>
        </w:rPr>
      </w:pPr>
      <w:r w:rsidRPr="00472028">
        <w:rPr>
          <w:sz w:val="24"/>
          <w:szCs w:val="24"/>
        </w:rPr>
        <w:tab/>
      </w:r>
      <w:r w:rsidRPr="00472028">
        <w:rPr>
          <w:b/>
          <w:sz w:val="24"/>
          <w:szCs w:val="24"/>
        </w:rPr>
        <w:t>WHEREAS,</w:t>
      </w:r>
      <w:r w:rsidRPr="00472028">
        <w:rPr>
          <w:sz w:val="24"/>
          <w:szCs w:val="24"/>
        </w:rPr>
        <w:t xml:space="preserve"> </w:t>
      </w:r>
      <w:r w:rsidR="00306AC5">
        <w:rPr>
          <w:sz w:val="24"/>
          <w:szCs w:val="24"/>
        </w:rPr>
        <w:t>West</w:t>
      </w:r>
      <w:r w:rsidR="005A0192" w:rsidRPr="00472028">
        <w:rPr>
          <w:sz w:val="24"/>
          <w:szCs w:val="24"/>
        </w:rPr>
        <w:t>’s Statement of Benefits ha</w:t>
      </w:r>
      <w:r w:rsidR="00306AC5">
        <w:rPr>
          <w:sz w:val="24"/>
          <w:szCs w:val="24"/>
        </w:rPr>
        <w:t>s</w:t>
      </w:r>
      <w:r w:rsidR="005A0192" w:rsidRPr="00472028">
        <w:rPr>
          <w:sz w:val="24"/>
          <w:szCs w:val="24"/>
        </w:rPr>
        <w:t xml:space="preserve"> been reviewed by the Council, and the Council now </w:t>
      </w:r>
      <w:proofErr w:type="gramStart"/>
      <w:r w:rsidR="005A0192" w:rsidRPr="00472028">
        <w:rPr>
          <w:sz w:val="24"/>
          <w:szCs w:val="24"/>
        </w:rPr>
        <w:t>finds</w:t>
      </w:r>
      <w:proofErr w:type="gramEnd"/>
      <w:r w:rsidR="005A0192" w:rsidRPr="00472028">
        <w:rPr>
          <w:sz w:val="24"/>
          <w:szCs w:val="24"/>
        </w:rPr>
        <w:t xml:space="preserve"> as follows:</w:t>
      </w:r>
    </w:p>
    <w:p w14:paraId="6062B2FE" w14:textId="77777777" w:rsidR="005A0192" w:rsidRPr="00472028" w:rsidRDefault="005A0192" w:rsidP="00287D7B">
      <w:pPr>
        <w:rPr>
          <w:sz w:val="24"/>
          <w:szCs w:val="24"/>
        </w:rPr>
      </w:pPr>
    </w:p>
    <w:p w14:paraId="6062B2FF" w14:textId="44FD2E04" w:rsidR="005A0192" w:rsidRPr="00472028" w:rsidRDefault="005A0192" w:rsidP="002B045F">
      <w:pPr>
        <w:rPr>
          <w:sz w:val="24"/>
          <w:szCs w:val="24"/>
        </w:rPr>
      </w:pPr>
      <w:r w:rsidRPr="00472028">
        <w:rPr>
          <w:sz w:val="24"/>
          <w:szCs w:val="24"/>
        </w:rPr>
        <w:tab/>
        <w:t>1.</w:t>
      </w:r>
      <w:r w:rsidRPr="00472028">
        <w:rPr>
          <w:sz w:val="24"/>
          <w:szCs w:val="24"/>
        </w:rPr>
        <w:tab/>
      </w:r>
      <w:r w:rsidR="00306AC5">
        <w:rPr>
          <w:sz w:val="24"/>
          <w:szCs w:val="24"/>
        </w:rPr>
        <w:t>T</w:t>
      </w:r>
      <w:r w:rsidRPr="00472028">
        <w:rPr>
          <w:sz w:val="24"/>
          <w:szCs w:val="24"/>
        </w:rPr>
        <w:t xml:space="preserve">he estimate of the </w:t>
      </w:r>
      <w:r w:rsidR="00306AC5">
        <w:rPr>
          <w:sz w:val="24"/>
          <w:szCs w:val="24"/>
        </w:rPr>
        <w:t xml:space="preserve">value of the </w:t>
      </w:r>
      <w:r w:rsidRPr="00472028">
        <w:rPr>
          <w:sz w:val="24"/>
          <w:szCs w:val="24"/>
        </w:rPr>
        <w:t>cost of the Personal Property is reasonable for equipment of this type.</w:t>
      </w:r>
    </w:p>
    <w:p w14:paraId="6062B300" w14:textId="77777777" w:rsidR="002B045F" w:rsidRPr="00472028" w:rsidRDefault="002B045F" w:rsidP="002B045F">
      <w:pPr>
        <w:rPr>
          <w:sz w:val="24"/>
          <w:szCs w:val="24"/>
        </w:rPr>
      </w:pPr>
    </w:p>
    <w:p w14:paraId="6062B301" w14:textId="383AD8E0" w:rsidR="002B045F" w:rsidRPr="00472028" w:rsidRDefault="002B045F" w:rsidP="002B045F">
      <w:pPr>
        <w:rPr>
          <w:sz w:val="24"/>
          <w:szCs w:val="24"/>
        </w:rPr>
      </w:pPr>
      <w:r w:rsidRPr="00472028">
        <w:rPr>
          <w:sz w:val="24"/>
          <w:szCs w:val="24"/>
        </w:rPr>
        <w:tab/>
        <w:t>2.</w:t>
      </w:r>
      <w:r w:rsidRPr="00472028">
        <w:rPr>
          <w:sz w:val="24"/>
          <w:szCs w:val="24"/>
        </w:rPr>
        <w:tab/>
        <w:t>The estimate of the number of individuals who will be employed can be reasonabl</w:t>
      </w:r>
      <w:r w:rsidR="001E0959">
        <w:rPr>
          <w:sz w:val="24"/>
          <w:szCs w:val="24"/>
        </w:rPr>
        <w:t>y</w:t>
      </w:r>
      <w:r w:rsidRPr="00472028">
        <w:rPr>
          <w:sz w:val="24"/>
          <w:szCs w:val="24"/>
        </w:rPr>
        <w:t xml:space="preserve"> expected to result from </w:t>
      </w:r>
      <w:r w:rsidR="004E0E40">
        <w:rPr>
          <w:sz w:val="24"/>
          <w:szCs w:val="24"/>
        </w:rPr>
        <w:t>t</w:t>
      </w:r>
      <w:r w:rsidRPr="00472028">
        <w:rPr>
          <w:sz w:val="24"/>
          <w:szCs w:val="24"/>
        </w:rPr>
        <w:t>he proposed installation of the Personal Property.</w:t>
      </w:r>
    </w:p>
    <w:p w14:paraId="6062B302" w14:textId="77777777" w:rsidR="00D45B3E" w:rsidRPr="00472028" w:rsidRDefault="00D45B3E" w:rsidP="002B045F">
      <w:pPr>
        <w:rPr>
          <w:sz w:val="24"/>
          <w:szCs w:val="24"/>
        </w:rPr>
      </w:pPr>
    </w:p>
    <w:p w14:paraId="6062B303" w14:textId="0F939D53" w:rsidR="00D45B3E" w:rsidRPr="00472028" w:rsidRDefault="00D45B3E" w:rsidP="002B045F">
      <w:pPr>
        <w:rPr>
          <w:sz w:val="24"/>
          <w:szCs w:val="24"/>
        </w:rPr>
      </w:pPr>
      <w:r w:rsidRPr="00472028">
        <w:rPr>
          <w:sz w:val="24"/>
          <w:szCs w:val="24"/>
        </w:rPr>
        <w:tab/>
        <w:t>3.</w:t>
      </w:r>
      <w:r w:rsidRPr="00472028">
        <w:rPr>
          <w:sz w:val="24"/>
          <w:szCs w:val="24"/>
        </w:rPr>
        <w:tab/>
        <w:t xml:space="preserve">The estimate of the annual salaries of those individuals who will be employed </w:t>
      </w:r>
      <w:r w:rsidR="00306AC5">
        <w:rPr>
          <w:sz w:val="24"/>
          <w:szCs w:val="24"/>
        </w:rPr>
        <w:t>that can</w:t>
      </w:r>
      <w:r w:rsidRPr="00472028">
        <w:rPr>
          <w:sz w:val="24"/>
          <w:szCs w:val="24"/>
        </w:rPr>
        <w:t xml:space="preserve"> reasonably </w:t>
      </w:r>
      <w:r w:rsidR="00306AC5">
        <w:rPr>
          <w:sz w:val="24"/>
          <w:szCs w:val="24"/>
        </w:rPr>
        <w:t xml:space="preserve">be </w:t>
      </w:r>
      <w:r w:rsidRPr="00472028">
        <w:rPr>
          <w:sz w:val="24"/>
          <w:szCs w:val="24"/>
        </w:rPr>
        <w:t xml:space="preserve">expected to result from the proposed </w:t>
      </w:r>
      <w:r w:rsidR="00306AC5">
        <w:rPr>
          <w:sz w:val="24"/>
          <w:szCs w:val="24"/>
        </w:rPr>
        <w:t>installation of the Personal Property is deemed appropriate.</w:t>
      </w:r>
    </w:p>
    <w:p w14:paraId="6062B304" w14:textId="77777777" w:rsidR="00D45B3E" w:rsidRPr="00472028" w:rsidRDefault="00D45B3E" w:rsidP="002B045F">
      <w:pPr>
        <w:rPr>
          <w:sz w:val="24"/>
          <w:szCs w:val="24"/>
        </w:rPr>
      </w:pPr>
    </w:p>
    <w:p w14:paraId="6062B305" w14:textId="793543ED" w:rsidR="00D45B3E" w:rsidRPr="00472028" w:rsidRDefault="003715AD" w:rsidP="002B045F">
      <w:pPr>
        <w:rPr>
          <w:sz w:val="24"/>
          <w:szCs w:val="24"/>
        </w:rPr>
      </w:pPr>
      <w:r w:rsidRPr="00472028">
        <w:rPr>
          <w:sz w:val="24"/>
          <w:szCs w:val="24"/>
        </w:rPr>
        <w:tab/>
        <w:t>4.</w:t>
      </w:r>
      <w:r w:rsidRPr="00472028">
        <w:rPr>
          <w:sz w:val="24"/>
          <w:szCs w:val="24"/>
        </w:rPr>
        <w:tab/>
        <w:t xml:space="preserve">Any other benefits about which information was requested are benefits that can be reasonably </w:t>
      </w:r>
      <w:r w:rsidR="006E53BB" w:rsidRPr="00472028">
        <w:rPr>
          <w:sz w:val="24"/>
          <w:szCs w:val="24"/>
        </w:rPr>
        <w:t>expected to result from the proposed installation of the Personal Property.</w:t>
      </w:r>
    </w:p>
    <w:p w14:paraId="6062B306" w14:textId="77777777" w:rsidR="006E53BB" w:rsidRPr="00472028" w:rsidRDefault="006E53BB" w:rsidP="002B045F">
      <w:pPr>
        <w:rPr>
          <w:sz w:val="24"/>
          <w:szCs w:val="24"/>
        </w:rPr>
      </w:pPr>
    </w:p>
    <w:p w14:paraId="6062B307" w14:textId="77777777" w:rsidR="006E53BB" w:rsidRPr="00472028" w:rsidRDefault="006E53BB" w:rsidP="002B045F">
      <w:pPr>
        <w:rPr>
          <w:sz w:val="24"/>
          <w:szCs w:val="24"/>
        </w:rPr>
      </w:pPr>
      <w:r w:rsidRPr="00472028">
        <w:rPr>
          <w:sz w:val="24"/>
          <w:szCs w:val="24"/>
        </w:rPr>
        <w:tab/>
        <w:t>5.</w:t>
      </w:r>
      <w:r w:rsidRPr="00472028">
        <w:rPr>
          <w:sz w:val="24"/>
          <w:szCs w:val="24"/>
        </w:rPr>
        <w:tab/>
        <w:t>The totality of benefits is sufficient to justify the deduction.</w:t>
      </w:r>
    </w:p>
    <w:p w14:paraId="6062B308" w14:textId="77777777" w:rsidR="006E53BB" w:rsidRPr="00472028" w:rsidRDefault="006E53BB" w:rsidP="002B045F">
      <w:pPr>
        <w:rPr>
          <w:sz w:val="24"/>
          <w:szCs w:val="24"/>
        </w:rPr>
      </w:pPr>
    </w:p>
    <w:p w14:paraId="6062B309" w14:textId="24B7A502" w:rsidR="006E53BB" w:rsidRDefault="006E53BB" w:rsidP="002B045F">
      <w:pPr>
        <w:rPr>
          <w:sz w:val="24"/>
          <w:szCs w:val="24"/>
        </w:rPr>
      </w:pPr>
      <w:r w:rsidRPr="00472028">
        <w:rPr>
          <w:sz w:val="24"/>
          <w:szCs w:val="24"/>
        </w:rPr>
        <w:tab/>
      </w:r>
      <w:r w:rsidRPr="00472028">
        <w:rPr>
          <w:b/>
          <w:sz w:val="24"/>
          <w:szCs w:val="24"/>
        </w:rPr>
        <w:t>WHEREAS,</w:t>
      </w:r>
      <w:r w:rsidRPr="00472028">
        <w:rPr>
          <w:sz w:val="24"/>
          <w:szCs w:val="24"/>
        </w:rPr>
        <w:t xml:space="preserve"> </w:t>
      </w:r>
      <w:r w:rsidR="00CD4199" w:rsidRPr="00472028">
        <w:rPr>
          <w:sz w:val="24"/>
          <w:szCs w:val="24"/>
        </w:rPr>
        <w:t xml:space="preserve">the Council desires to grant the requested tax abatement to support </w:t>
      </w:r>
      <w:r w:rsidR="001815E1">
        <w:rPr>
          <w:sz w:val="24"/>
          <w:szCs w:val="24"/>
        </w:rPr>
        <w:t xml:space="preserve">the </w:t>
      </w:r>
      <w:r w:rsidR="00826C33">
        <w:rPr>
          <w:sz w:val="24"/>
          <w:szCs w:val="24"/>
        </w:rPr>
        <w:t>creation</w:t>
      </w:r>
      <w:r w:rsidR="001815E1">
        <w:rPr>
          <w:sz w:val="24"/>
          <w:szCs w:val="24"/>
        </w:rPr>
        <w:t xml:space="preserve"> of </w:t>
      </w:r>
      <w:r w:rsidR="00CD4199" w:rsidRPr="00472028">
        <w:rPr>
          <w:sz w:val="24"/>
          <w:szCs w:val="24"/>
        </w:rPr>
        <w:t>approximately</w:t>
      </w:r>
      <w:r w:rsidR="006145A5">
        <w:rPr>
          <w:sz w:val="24"/>
          <w:szCs w:val="24"/>
        </w:rPr>
        <w:t xml:space="preserve"> </w:t>
      </w:r>
      <w:r w:rsidR="00306AC5">
        <w:rPr>
          <w:sz w:val="24"/>
          <w:szCs w:val="24"/>
        </w:rPr>
        <w:t>90</w:t>
      </w:r>
      <w:r w:rsidR="00CD4199" w:rsidRPr="00472028">
        <w:rPr>
          <w:sz w:val="24"/>
          <w:szCs w:val="24"/>
        </w:rPr>
        <w:t xml:space="preserve"> </w:t>
      </w:r>
      <w:r w:rsidR="00826C33">
        <w:rPr>
          <w:sz w:val="24"/>
          <w:szCs w:val="24"/>
        </w:rPr>
        <w:t>new positions between 2025 and 2027</w:t>
      </w:r>
      <w:r w:rsidR="00CD4199" w:rsidRPr="00472028">
        <w:rPr>
          <w:sz w:val="24"/>
          <w:szCs w:val="24"/>
        </w:rPr>
        <w:t xml:space="preserve"> </w:t>
      </w:r>
      <w:r w:rsidR="00306AC5">
        <w:rPr>
          <w:sz w:val="24"/>
          <w:szCs w:val="24"/>
        </w:rPr>
        <w:t xml:space="preserve">with an average salary of $65,000.00 and an anticipated 210 </w:t>
      </w:r>
      <w:r w:rsidR="00826C33">
        <w:rPr>
          <w:sz w:val="24"/>
          <w:szCs w:val="24"/>
        </w:rPr>
        <w:t>positions</w:t>
      </w:r>
      <w:r w:rsidR="00306AC5">
        <w:rPr>
          <w:sz w:val="24"/>
          <w:szCs w:val="24"/>
        </w:rPr>
        <w:t xml:space="preserve"> between 2027 and 2035 with an average of $65,000.00 in</w:t>
      </w:r>
      <w:r w:rsidR="00CD4199" w:rsidRPr="00472028">
        <w:rPr>
          <w:sz w:val="24"/>
          <w:szCs w:val="24"/>
        </w:rPr>
        <w:t xml:space="preserve"> </w:t>
      </w:r>
      <w:r w:rsidR="00306AC5">
        <w:rPr>
          <w:sz w:val="24"/>
          <w:szCs w:val="24"/>
        </w:rPr>
        <w:t xml:space="preserve">average </w:t>
      </w:r>
      <w:r w:rsidR="00CD4199" w:rsidRPr="00472028">
        <w:rPr>
          <w:sz w:val="24"/>
          <w:szCs w:val="24"/>
        </w:rPr>
        <w:t>annual salaries</w:t>
      </w:r>
      <w:r w:rsidR="00306AC5">
        <w:rPr>
          <w:sz w:val="24"/>
          <w:szCs w:val="24"/>
        </w:rPr>
        <w:t xml:space="preserve"> and increase the capabilities of West to expand the scope of their services with regard to manufacturing, research, development, and testing capabilities at the </w:t>
      </w:r>
      <w:r w:rsidR="008E5746">
        <w:rPr>
          <w:sz w:val="24"/>
          <w:szCs w:val="24"/>
        </w:rPr>
        <w:t>subject location, to encourage de</w:t>
      </w:r>
      <w:r w:rsidR="00CD4199" w:rsidRPr="00472028">
        <w:rPr>
          <w:sz w:val="24"/>
          <w:szCs w:val="24"/>
        </w:rPr>
        <w:t>velopment</w:t>
      </w:r>
      <w:r w:rsidR="008E5746">
        <w:rPr>
          <w:sz w:val="24"/>
          <w:szCs w:val="24"/>
        </w:rPr>
        <w:t xml:space="preserve"> in an area undesirable for normal development, </w:t>
      </w:r>
      <w:r w:rsidR="00CD4199" w:rsidRPr="00472028">
        <w:rPr>
          <w:sz w:val="24"/>
          <w:szCs w:val="24"/>
        </w:rPr>
        <w:t>to expand the property tax base, and to revitalize the City of Greenfield, Indiana</w:t>
      </w:r>
      <w:r w:rsidR="00033586" w:rsidRPr="00472028">
        <w:rPr>
          <w:sz w:val="24"/>
          <w:szCs w:val="24"/>
        </w:rPr>
        <w:t>.</w:t>
      </w:r>
    </w:p>
    <w:p w14:paraId="27DCB771" w14:textId="77777777" w:rsidR="00EB6E87" w:rsidRDefault="00EB6E87" w:rsidP="002B045F">
      <w:pPr>
        <w:rPr>
          <w:sz w:val="24"/>
          <w:szCs w:val="24"/>
        </w:rPr>
      </w:pPr>
    </w:p>
    <w:p w14:paraId="512A3BB8" w14:textId="77777777" w:rsidR="00EB6E87" w:rsidRDefault="00EB6E87" w:rsidP="00EB6E87">
      <w:pPr>
        <w:ind w:firstLine="720"/>
        <w:rPr>
          <w:sz w:val="24"/>
          <w:szCs w:val="24"/>
        </w:rPr>
      </w:pPr>
      <w:r w:rsidRPr="00350E7A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Pr="0046403B">
        <w:rPr>
          <w:sz w:val="24"/>
          <w:szCs w:val="24"/>
        </w:rPr>
        <w:t>the Council has considered the following factors under Ind. Code § 6-1.1-12.1-17:</w:t>
      </w:r>
    </w:p>
    <w:p w14:paraId="5C41F59B" w14:textId="77777777" w:rsidR="00EB6E87" w:rsidRPr="0046403B" w:rsidRDefault="00EB6E87" w:rsidP="00EB6E87">
      <w:pPr>
        <w:rPr>
          <w:sz w:val="24"/>
          <w:szCs w:val="24"/>
        </w:rPr>
      </w:pPr>
    </w:p>
    <w:p w14:paraId="69782D7F" w14:textId="771A1EBB" w:rsidR="00EB6E87" w:rsidRDefault="00EB6E87" w:rsidP="00EB6E87">
      <w:pPr>
        <w:ind w:firstLine="720"/>
        <w:rPr>
          <w:sz w:val="24"/>
          <w:szCs w:val="24"/>
        </w:rPr>
      </w:pPr>
      <w:r w:rsidRPr="0046403B">
        <w:rPr>
          <w:sz w:val="24"/>
          <w:szCs w:val="24"/>
        </w:rPr>
        <w:t>1.</w:t>
      </w:r>
      <w:r w:rsidRPr="0046403B">
        <w:rPr>
          <w:sz w:val="24"/>
          <w:szCs w:val="24"/>
        </w:rPr>
        <w:tab/>
        <w:t xml:space="preserve">The total amount of </w:t>
      </w:r>
      <w:r>
        <w:rPr>
          <w:sz w:val="24"/>
          <w:szCs w:val="24"/>
        </w:rPr>
        <w:t>West’s</w:t>
      </w:r>
      <w:r w:rsidRPr="0046403B">
        <w:rPr>
          <w:sz w:val="24"/>
          <w:szCs w:val="24"/>
        </w:rPr>
        <w:t xml:space="preserve"> investment in </w:t>
      </w:r>
      <w:proofErr w:type="gramStart"/>
      <w:r>
        <w:rPr>
          <w:sz w:val="24"/>
          <w:szCs w:val="24"/>
        </w:rPr>
        <w:t>the P</w:t>
      </w:r>
      <w:r w:rsidRPr="0046403B">
        <w:rPr>
          <w:sz w:val="24"/>
          <w:szCs w:val="24"/>
        </w:rPr>
        <w:t>ersonal</w:t>
      </w:r>
      <w:proofErr w:type="gramEnd"/>
      <w:r w:rsidRPr="0046403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 w:rsidRPr="0046403B">
        <w:rPr>
          <w:sz w:val="24"/>
          <w:szCs w:val="24"/>
        </w:rPr>
        <w:t>roperty</w:t>
      </w:r>
      <w:r>
        <w:rPr>
          <w:sz w:val="24"/>
          <w:szCs w:val="24"/>
        </w:rPr>
        <w:t>;</w:t>
      </w:r>
      <w:proofErr w:type="gramEnd"/>
    </w:p>
    <w:p w14:paraId="665BDDB4" w14:textId="77777777" w:rsidR="00EB6E87" w:rsidRPr="0046403B" w:rsidRDefault="00EB6E87" w:rsidP="00EB6E87">
      <w:pPr>
        <w:ind w:firstLine="720"/>
        <w:rPr>
          <w:sz w:val="24"/>
          <w:szCs w:val="24"/>
        </w:rPr>
      </w:pPr>
    </w:p>
    <w:p w14:paraId="42765A72" w14:textId="3A1AF3C7" w:rsidR="00EB6E87" w:rsidRPr="0046403B" w:rsidRDefault="00EB6E87" w:rsidP="00EB6E87">
      <w:pPr>
        <w:ind w:firstLine="720"/>
        <w:rPr>
          <w:sz w:val="24"/>
          <w:szCs w:val="24"/>
        </w:rPr>
      </w:pPr>
      <w:r w:rsidRPr="0046403B">
        <w:rPr>
          <w:sz w:val="24"/>
          <w:szCs w:val="24"/>
        </w:rPr>
        <w:t>2.</w:t>
      </w:r>
      <w:r w:rsidRPr="0046403B">
        <w:rPr>
          <w:sz w:val="24"/>
          <w:szCs w:val="24"/>
        </w:rPr>
        <w:tab/>
        <w:t xml:space="preserve">The number of new full-time equivalent jobs </w:t>
      </w:r>
      <w:proofErr w:type="gramStart"/>
      <w:r>
        <w:rPr>
          <w:sz w:val="24"/>
          <w:szCs w:val="24"/>
        </w:rPr>
        <w:t>as a result of</w:t>
      </w:r>
      <w:proofErr w:type="gramEnd"/>
      <w:r>
        <w:rPr>
          <w:sz w:val="24"/>
          <w:szCs w:val="24"/>
        </w:rPr>
        <w:t xml:space="preserve"> investment in </w:t>
      </w:r>
      <w:proofErr w:type="gramStart"/>
      <w:r>
        <w:rPr>
          <w:sz w:val="24"/>
          <w:szCs w:val="24"/>
        </w:rPr>
        <w:t>the Personal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Property</w:t>
      </w:r>
      <w:r w:rsidRPr="0046403B">
        <w:rPr>
          <w:sz w:val="24"/>
          <w:szCs w:val="24"/>
        </w:rPr>
        <w:t>;</w:t>
      </w:r>
      <w:proofErr w:type="gramEnd"/>
    </w:p>
    <w:p w14:paraId="5178A42D" w14:textId="46A63E4E" w:rsidR="00EB6E87" w:rsidRDefault="00EB6E87" w:rsidP="00EB6E87">
      <w:pPr>
        <w:ind w:firstLine="720"/>
        <w:rPr>
          <w:sz w:val="24"/>
          <w:szCs w:val="24"/>
        </w:rPr>
      </w:pPr>
      <w:r w:rsidRPr="0046403B">
        <w:rPr>
          <w:sz w:val="24"/>
          <w:szCs w:val="24"/>
        </w:rPr>
        <w:lastRenderedPageBreak/>
        <w:t>3.</w:t>
      </w:r>
      <w:r w:rsidRPr="0046403B">
        <w:rPr>
          <w:sz w:val="24"/>
          <w:szCs w:val="24"/>
        </w:rPr>
        <w:tab/>
        <w:t xml:space="preserve">The average wage of </w:t>
      </w:r>
      <w:r>
        <w:rPr>
          <w:sz w:val="24"/>
          <w:szCs w:val="24"/>
        </w:rPr>
        <w:t>new</w:t>
      </w:r>
      <w:r w:rsidRPr="0046403B">
        <w:rPr>
          <w:sz w:val="24"/>
          <w:szCs w:val="24"/>
        </w:rPr>
        <w:t xml:space="preserve"> employees compared to the state minimum wage; and </w:t>
      </w:r>
    </w:p>
    <w:p w14:paraId="105B8247" w14:textId="77777777" w:rsidR="00EB6E87" w:rsidRPr="0046403B" w:rsidRDefault="00EB6E87" w:rsidP="00EB6E87">
      <w:pPr>
        <w:ind w:firstLine="720"/>
        <w:rPr>
          <w:sz w:val="24"/>
          <w:szCs w:val="24"/>
        </w:rPr>
      </w:pPr>
    </w:p>
    <w:p w14:paraId="1C3F273E" w14:textId="291C5911" w:rsidR="00EB6E87" w:rsidRPr="0046403B" w:rsidRDefault="00EB6E87" w:rsidP="00EB6E87">
      <w:pPr>
        <w:ind w:firstLine="720"/>
        <w:rPr>
          <w:sz w:val="24"/>
          <w:szCs w:val="24"/>
        </w:rPr>
      </w:pPr>
      <w:r w:rsidRPr="0046403B">
        <w:rPr>
          <w:sz w:val="24"/>
          <w:szCs w:val="24"/>
        </w:rPr>
        <w:t>4.</w:t>
      </w:r>
      <w:r w:rsidRPr="0046403B">
        <w:rPr>
          <w:sz w:val="24"/>
          <w:szCs w:val="24"/>
        </w:rPr>
        <w:tab/>
        <w:t xml:space="preserve">The infrastructure requirements for </w:t>
      </w:r>
      <w:r>
        <w:rPr>
          <w:sz w:val="24"/>
          <w:szCs w:val="24"/>
        </w:rPr>
        <w:t>West</w:t>
      </w:r>
      <w:r w:rsidRPr="0046403B">
        <w:rPr>
          <w:sz w:val="24"/>
          <w:szCs w:val="24"/>
        </w:rPr>
        <w:t xml:space="preserve">’s investment in </w:t>
      </w:r>
      <w:r>
        <w:rPr>
          <w:sz w:val="24"/>
          <w:szCs w:val="24"/>
        </w:rPr>
        <w:t>the P</w:t>
      </w:r>
      <w:r w:rsidRPr="0046403B">
        <w:rPr>
          <w:sz w:val="24"/>
          <w:szCs w:val="24"/>
        </w:rPr>
        <w:t xml:space="preserve">ersonal </w:t>
      </w:r>
      <w:r>
        <w:rPr>
          <w:sz w:val="24"/>
          <w:szCs w:val="24"/>
        </w:rPr>
        <w:t>P</w:t>
      </w:r>
      <w:r w:rsidRPr="0046403B">
        <w:rPr>
          <w:sz w:val="24"/>
          <w:szCs w:val="24"/>
        </w:rPr>
        <w:t>roperty</w:t>
      </w:r>
      <w:r w:rsidR="009B03BB">
        <w:rPr>
          <w:sz w:val="24"/>
          <w:szCs w:val="24"/>
        </w:rPr>
        <w:t xml:space="preserve"> (collectively, the “Deduction Schedule Factors”)</w:t>
      </w:r>
      <w:r>
        <w:rPr>
          <w:sz w:val="24"/>
          <w:szCs w:val="24"/>
        </w:rPr>
        <w:t>.</w:t>
      </w:r>
    </w:p>
    <w:p w14:paraId="3DD147A5" w14:textId="77777777" w:rsidR="00EB6E87" w:rsidRPr="0046403B" w:rsidRDefault="00EB6E87" w:rsidP="00EB6E87">
      <w:pPr>
        <w:rPr>
          <w:sz w:val="24"/>
          <w:szCs w:val="24"/>
        </w:rPr>
      </w:pPr>
    </w:p>
    <w:p w14:paraId="6062B30B" w14:textId="4204E4C4" w:rsidR="00052AD7" w:rsidRPr="00472028" w:rsidRDefault="00DB0B85" w:rsidP="00677557">
      <w:pPr>
        <w:rPr>
          <w:rFonts w:cs="Times New Roman"/>
          <w:bCs/>
          <w:sz w:val="24"/>
          <w:szCs w:val="24"/>
        </w:rPr>
      </w:pPr>
      <w:r w:rsidRPr="00472028">
        <w:rPr>
          <w:sz w:val="24"/>
          <w:szCs w:val="24"/>
        </w:rPr>
        <w:tab/>
      </w:r>
      <w:r w:rsidR="00F15677" w:rsidRPr="00472028">
        <w:rPr>
          <w:rFonts w:cs="Times New Roman"/>
          <w:sz w:val="24"/>
          <w:szCs w:val="24"/>
          <w:lang w:val="en-CA"/>
        </w:rPr>
        <w:fldChar w:fldCharType="begin"/>
      </w:r>
      <w:r w:rsidR="00F15677" w:rsidRPr="00472028">
        <w:rPr>
          <w:rFonts w:cs="Times New Roman"/>
          <w:sz w:val="24"/>
          <w:szCs w:val="24"/>
          <w:lang w:val="en-CA"/>
        </w:rPr>
        <w:instrText xml:space="preserve"> SEQ CHAPTER \h \r 1</w:instrText>
      </w:r>
      <w:r w:rsidR="00F15677" w:rsidRPr="00472028">
        <w:rPr>
          <w:rFonts w:cs="Times New Roman"/>
          <w:sz w:val="24"/>
          <w:szCs w:val="24"/>
          <w:lang w:val="en-CA"/>
        </w:rPr>
        <w:fldChar w:fldCharType="end"/>
      </w:r>
      <w:r w:rsidR="00F15677" w:rsidRPr="00472028">
        <w:rPr>
          <w:rFonts w:cs="Times New Roman"/>
          <w:b/>
          <w:bCs/>
          <w:sz w:val="24"/>
          <w:szCs w:val="24"/>
        </w:rPr>
        <w:t xml:space="preserve">NOW, THEREFORE, </w:t>
      </w:r>
      <w:proofErr w:type="gramStart"/>
      <w:r w:rsidR="00F15677" w:rsidRPr="00472028">
        <w:rPr>
          <w:rFonts w:cs="Times New Roman"/>
          <w:b/>
          <w:bCs/>
          <w:sz w:val="24"/>
          <w:szCs w:val="24"/>
        </w:rPr>
        <w:t>BE IT</w:t>
      </w:r>
      <w:proofErr w:type="gramEnd"/>
      <w:r w:rsidR="00F15677" w:rsidRPr="00472028">
        <w:rPr>
          <w:rFonts w:cs="Times New Roman"/>
          <w:b/>
          <w:bCs/>
          <w:sz w:val="24"/>
          <w:szCs w:val="24"/>
        </w:rPr>
        <w:t xml:space="preserve"> RESOLVED, </w:t>
      </w:r>
      <w:r w:rsidR="00C573E3" w:rsidRPr="00472028">
        <w:rPr>
          <w:rFonts w:cs="Times New Roman"/>
          <w:bCs/>
          <w:sz w:val="24"/>
          <w:szCs w:val="24"/>
        </w:rPr>
        <w:t xml:space="preserve">by the Common Council of the City of Greenfield, Indiana, </w:t>
      </w:r>
      <w:r w:rsidR="00677557" w:rsidRPr="00472028">
        <w:rPr>
          <w:rFonts w:cs="Times New Roman"/>
          <w:bCs/>
          <w:sz w:val="24"/>
          <w:szCs w:val="24"/>
        </w:rPr>
        <w:t>as follows:</w:t>
      </w:r>
    </w:p>
    <w:p w14:paraId="6062B30C" w14:textId="77777777" w:rsidR="00677557" w:rsidRDefault="00677557" w:rsidP="00677557">
      <w:pPr>
        <w:rPr>
          <w:rFonts w:cs="Times New Roman"/>
          <w:bCs/>
          <w:sz w:val="24"/>
          <w:szCs w:val="24"/>
        </w:rPr>
      </w:pPr>
    </w:p>
    <w:p w14:paraId="6062B30D" w14:textId="77777777" w:rsidR="00677557" w:rsidRPr="00472028" w:rsidRDefault="00677557" w:rsidP="00677557">
      <w:pPr>
        <w:jc w:val="center"/>
        <w:rPr>
          <w:rFonts w:cs="Times New Roman"/>
          <w:b/>
          <w:bCs/>
          <w:sz w:val="24"/>
          <w:szCs w:val="24"/>
          <w:u w:val="single"/>
        </w:rPr>
      </w:pPr>
      <w:r w:rsidRPr="00472028">
        <w:rPr>
          <w:rFonts w:cs="Times New Roman"/>
          <w:b/>
          <w:bCs/>
          <w:sz w:val="24"/>
          <w:szCs w:val="24"/>
          <w:u w:val="single"/>
        </w:rPr>
        <w:t>SECTION I</w:t>
      </w:r>
    </w:p>
    <w:p w14:paraId="6062B30E" w14:textId="77777777" w:rsidR="00677557" w:rsidRPr="00472028" w:rsidRDefault="00677557" w:rsidP="00677557">
      <w:pPr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6062B30F" w14:textId="77777777" w:rsidR="00033586" w:rsidRPr="00472028" w:rsidRDefault="00033586" w:rsidP="00033586">
      <w:pPr>
        <w:rPr>
          <w:rFonts w:cs="Times New Roman"/>
          <w:bCs/>
          <w:sz w:val="24"/>
          <w:szCs w:val="24"/>
        </w:rPr>
      </w:pPr>
      <w:r w:rsidRPr="00472028">
        <w:rPr>
          <w:rFonts w:cs="Times New Roman"/>
          <w:bCs/>
          <w:sz w:val="24"/>
          <w:szCs w:val="24"/>
        </w:rPr>
        <w:tab/>
        <w:t>That the real estate described in Exhibit A should be and is hereby declared to be an Economic Revitalization Area as defined in I.C. 6-1.1-</w:t>
      </w:r>
      <w:proofErr w:type="gramStart"/>
      <w:r w:rsidRPr="00472028">
        <w:rPr>
          <w:rFonts w:cs="Times New Roman"/>
          <w:bCs/>
          <w:sz w:val="24"/>
          <w:szCs w:val="24"/>
        </w:rPr>
        <w:t>12.1-</w:t>
      </w:r>
      <w:proofErr w:type="gramEnd"/>
      <w:r w:rsidRPr="00472028">
        <w:rPr>
          <w:rFonts w:cs="Times New Roman"/>
          <w:bCs/>
          <w:sz w:val="24"/>
          <w:szCs w:val="24"/>
        </w:rPr>
        <w:t>1 et seq.</w:t>
      </w:r>
    </w:p>
    <w:p w14:paraId="47B134B6" w14:textId="77777777" w:rsidR="002879EA" w:rsidRDefault="002879EA" w:rsidP="002879EA">
      <w:pPr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6062B311" w14:textId="72086901" w:rsidR="001768B7" w:rsidRPr="00472028" w:rsidRDefault="002879EA" w:rsidP="002879EA">
      <w:pPr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S</w:t>
      </w:r>
      <w:r w:rsidR="001768B7" w:rsidRPr="00472028">
        <w:rPr>
          <w:rFonts w:cs="Times New Roman"/>
          <w:b/>
          <w:bCs/>
          <w:sz w:val="24"/>
          <w:szCs w:val="24"/>
          <w:u w:val="single"/>
        </w:rPr>
        <w:t>ECTION II</w:t>
      </w:r>
    </w:p>
    <w:p w14:paraId="6062B312" w14:textId="77777777" w:rsidR="00033586" w:rsidRDefault="00033586" w:rsidP="001768B7">
      <w:pPr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6062B338" w14:textId="3C1399A8" w:rsidR="0069796B" w:rsidRPr="00472028" w:rsidRDefault="00033586" w:rsidP="0069796B">
      <w:pPr>
        <w:rPr>
          <w:rFonts w:cs="Times New Roman"/>
          <w:bCs/>
          <w:sz w:val="24"/>
          <w:szCs w:val="24"/>
        </w:rPr>
      </w:pPr>
      <w:r w:rsidRPr="00472028">
        <w:rPr>
          <w:rFonts w:cs="Times New Roman"/>
          <w:bCs/>
          <w:sz w:val="24"/>
          <w:szCs w:val="24"/>
        </w:rPr>
        <w:tab/>
      </w:r>
      <w:r w:rsidR="0069796B" w:rsidRPr="00472028">
        <w:rPr>
          <w:rFonts w:cs="Times New Roman"/>
          <w:bCs/>
          <w:sz w:val="24"/>
          <w:szCs w:val="24"/>
        </w:rPr>
        <w:t xml:space="preserve">That deductions from the assessed value of Personal Property installed in the ERA shall be allowed over a </w:t>
      </w:r>
      <w:r w:rsidR="008E5746">
        <w:rPr>
          <w:rFonts w:cs="Times New Roman"/>
          <w:bCs/>
          <w:sz w:val="24"/>
          <w:szCs w:val="24"/>
        </w:rPr>
        <w:t>fi</w:t>
      </w:r>
      <w:r w:rsidR="001C5182">
        <w:rPr>
          <w:rFonts w:cs="Times New Roman"/>
          <w:bCs/>
          <w:sz w:val="24"/>
          <w:szCs w:val="24"/>
        </w:rPr>
        <w:t>fteen</w:t>
      </w:r>
      <w:r w:rsidR="0069796B" w:rsidRPr="00472028">
        <w:rPr>
          <w:rFonts w:cs="Times New Roman"/>
          <w:bCs/>
          <w:sz w:val="24"/>
          <w:szCs w:val="24"/>
        </w:rPr>
        <w:t xml:space="preserve"> (</w:t>
      </w:r>
      <w:r w:rsidR="001C5182">
        <w:rPr>
          <w:rFonts w:cs="Times New Roman"/>
          <w:bCs/>
          <w:sz w:val="24"/>
          <w:szCs w:val="24"/>
        </w:rPr>
        <w:t>1</w:t>
      </w:r>
      <w:r w:rsidR="008E5746">
        <w:rPr>
          <w:rFonts w:cs="Times New Roman"/>
          <w:bCs/>
          <w:sz w:val="24"/>
          <w:szCs w:val="24"/>
        </w:rPr>
        <w:t>5</w:t>
      </w:r>
      <w:r w:rsidR="0069796B" w:rsidRPr="00472028">
        <w:rPr>
          <w:rFonts w:cs="Times New Roman"/>
          <w:bCs/>
          <w:sz w:val="24"/>
          <w:szCs w:val="24"/>
        </w:rPr>
        <w:t xml:space="preserve">) year deduction period, pursuant to the </w:t>
      </w:r>
      <w:r w:rsidR="008E5746">
        <w:rPr>
          <w:rFonts w:cs="Times New Roman"/>
          <w:bCs/>
          <w:sz w:val="24"/>
          <w:szCs w:val="24"/>
        </w:rPr>
        <w:t>fi</w:t>
      </w:r>
      <w:r w:rsidR="001C5182">
        <w:rPr>
          <w:rFonts w:cs="Times New Roman"/>
          <w:bCs/>
          <w:sz w:val="24"/>
          <w:szCs w:val="24"/>
        </w:rPr>
        <w:t>fteen</w:t>
      </w:r>
      <w:r w:rsidR="0069796B" w:rsidRPr="00472028">
        <w:rPr>
          <w:rFonts w:cs="Times New Roman"/>
          <w:bCs/>
          <w:sz w:val="24"/>
          <w:szCs w:val="24"/>
        </w:rPr>
        <w:t xml:space="preserve"> (</w:t>
      </w:r>
      <w:r w:rsidR="001C5182">
        <w:rPr>
          <w:rFonts w:cs="Times New Roman"/>
          <w:bCs/>
          <w:sz w:val="24"/>
          <w:szCs w:val="24"/>
        </w:rPr>
        <w:t>1</w:t>
      </w:r>
      <w:r w:rsidR="008E5746">
        <w:rPr>
          <w:rFonts w:cs="Times New Roman"/>
          <w:bCs/>
          <w:sz w:val="24"/>
          <w:szCs w:val="24"/>
        </w:rPr>
        <w:t>5</w:t>
      </w:r>
      <w:r w:rsidR="0069796B" w:rsidRPr="00472028">
        <w:rPr>
          <w:rFonts w:cs="Times New Roman"/>
          <w:bCs/>
          <w:sz w:val="24"/>
          <w:szCs w:val="24"/>
        </w:rPr>
        <w:t>) year personal property deduction schedule set forth in I.C. 6-1.1-</w:t>
      </w:r>
      <w:proofErr w:type="gramStart"/>
      <w:r w:rsidR="0069796B" w:rsidRPr="00472028">
        <w:rPr>
          <w:rFonts w:cs="Times New Roman"/>
          <w:bCs/>
          <w:sz w:val="24"/>
          <w:szCs w:val="24"/>
        </w:rPr>
        <w:t>12.1-</w:t>
      </w:r>
      <w:proofErr w:type="gramEnd"/>
      <w:r w:rsidR="0069796B" w:rsidRPr="00472028">
        <w:rPr>
          <w:rFonts w:cs="Times New Roman"/>
          <w:bCs/>
          <w:sz w:val="24"/>
          <w:szCs w:val="24"/>
        </w:rPr>
        <w:t>1 et seq. and attached to the SB-1/PP</w:t>
      </w:r>
      <w:r w:rsidR="00472028" w:rsidRPr="00472028">
        <w:rPr>
          <w:rFonts w:cs="Times New Roman"/>
          <w:bCs/>
          <w:sz w:val="24"/>
          <w:szCs w:val="24"/>
        </w:rPr>
        <w:t xml:space="preserve"> and as set forth below</w:t>
      </w:r>
      <w:r w:rsidR="0069796B" w:rsidRPr="00472028">
        <w:rPr>
          <w:rFonts w:cs="Times New Roman"/>
          <w:bCs/>
          <w:sz w:val="24"/>
          <w:szCs w:val="24"/>
        </w:rPr>
        <w:t>.</w:t>
      </w:r>
    </w:p>
    <w:p w14:paraId="6062B339" w14:textId="77777777" w:rsidR="00472028" w:rsidRPr="00472028" w:rsidRDefault="00472028" w:rsidP="0069796B">
      <w:pPr>
        <w:rPr>
          <w:rFonts w:cs="Times New Roman"/>
          <w:bCs/>
          <w:sz w:val="24"/>
          <w:szCs w:val="24"/>
        </w:rPr>
      </w:pPr>
    </w:p>
    <w:tbl>
      <w:tblPr>
        <w:tblStyle w:val="TableGrid"/>
        <w:tblW w:w="0" w:type="auto"/>
        <w:tblInd w:w="3014" w:type="dxa"/>
        <w:tblLook w:val="04A0" w:firstRow="1" w:lastRow="0" w:firstColumn="1" w:lastColumn="0" w:noHBand="0" w:noVBand="1"/>
      </w:tblPr>
      <w:tblGrid>
        <w:gridCol w:w="1440"/>
        <w:gridCol w:w="1872"/>
      </w:tblGrid>
      <w:tr w:rsidR="00472028" w:rsidRPr="00472028" w14:paraId="6062B33E" w14:textId="77777777" w:rsidTr="004E0E40">
        <w:tc>
          <w:tcPr>
            <w:tcW w:w="1440" w:type="dxa"/>
          </w:tcPr>
          <w:p w14:paraId="6062B33A" w14:textId="77777777" w:rsidR="00472028" w:rsidRPr="00472028" w:rsidRDefault="00472028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206060629"/>
            <w:r w:rsidRPr="00472028">
              <w:rPr>
                <w:rFonts w:cs="Times New Roman"/>
                <w:bCs/>
                <w:sz w:val="24"/>
                <w:szCs w:val="24"/>
              </w:rPr>
              <w:t>YEAR</w:t>
            </w:r>
          </w:p>
          <w:p w14:paraId="6062B33B" w14:textId="77777777" w:rsidR="00472028" w:rsidRPr="00472028" w:rsidRDefault="00472028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72028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6062B33C" w14:textId="77777777" w:rsidR="00472028" w:rsidRPr="00472028" w:rsidRDefault="00472028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72028">
              <w:rPr>
                <w:rFonts w:cs="Times New Roman"/>
                <w:bCs/>
                <w:sz w:val="24"/>
                <w:szCs w:val="24"/>
              </w:rPr>
              <w:t>% ABATED</w:t>
            </w:r>
          </w:p>
          <w:p w14:paraId="6062B33D" w14:textId="77777777" w:rsidR="00472028" w:rsidRPr="00472028" w:rsidRDefault="00472028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72028"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472028" w:rsidRPr="00472028" w14:paraId="6062B341" w14:textId="77777777" w:rsidTr="004E0E40">
        <w:tc>
          <w:tcPr>
            <w:tcW w:w="1440" w:type="dxa"/>
          </w:tcPr>
          <w:p w14:paraId="6062B33F" w14:textId="673D6B8D" w:rsidR="00472028" w:rsidRPr="00472028" w:rsidRDefault="00472028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72028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6062B340" w14:textId="72E1312D" w:rsidR="00472028" w:rsidRPr="00472028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472028" w:rsidRPr="00472028" w14:paraId="6062B344" w14:textId="77777777" w:rsidTr="004E0E40">
        <w:tc>
          <w:tcPr>
            <w:tcW w:w="1440" w:type="dxa"/>
          </w:tcPr>
          <w:p w14:paraId="6062B342" w14:textId="77777777" w:rsidR="00472028" w:rsidRPr="00472028" w:rsidRDefault="00472028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72028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6062B343" w14:textId="4B0A8C66" w:rsidR="00472028" w:rsidRPr="00472028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472028" w:rsidRPr="00472028" w14:paraId="6062B347" w14:textId="77777777" w:rsidTr="004E0E40">
        <w:tc>
          <w:tcPr>
            <w:tcW w:w="1440" w:type="dxa"/>
          </w:tcPr>
          <w:p w14:paraId="6062B345" w14:textId="77777777" w:rsidR="00472028" w:rsidRPr="00472028" w:rsidRDefault="00472028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72028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14:paraId="6062B346" w14:textId="2588CBF6" w:rsidR="00472028" w:rsidRPr="00472028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</w:t>
            </w:r>
            <w:r w:rsidR="00472028" w:rsidRPr="00472028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</w:tr>
      <w:tr w:rsidR="00472028" w:rsidRPr="00472028" w14:paraId="6062B34A" w14:textId="77777777" w:rsidTr="004E0E40">
        <w:tc>
          <w:tcPr>
            <w:tcW w:w="1440" w:type="dxa"/>
          </w:tcPr>
          <w:p w14:paraId="6062B348" w14:textId="77777777" w:rsidR="00472028" w:rsidRPr="00472028" w:rsidRDefault="00472028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72028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14:paraId="6062B349" w14:textId="1FC9765B" w:rsidR="001C5182" w:rsidRPr="00472028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</w:t>
            </w:r>
            <w:r w:rsidR="00472028" w:rsidRPr="00472028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</w:tr>
      <w:tr w:rsidR="001C5182" w:rsidRPr="00472028" w14:paraId="51910913" w14:textId="77777777" w:rsidTr="004E0E40">
        <w:tc>
          <w:tcPr>
            <w:tcW w:w="1440" w:type="dxa"/>
          </w:tcPr>
          <w:p w14:paraId="79D13AB5" w14:textId="63BA33C7" w:rsidR="001C5182" w:rsidRPr="00472028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6AC6394C" w14:textId="11F07D09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1C5182" w:rsidRPr="00472028" w14:paraId="74922C40" w14:textId="77777777" w:rsidTr="004E0E40">
        <w:tc>
          <w:tcPr>
            <w:tcW w:w="1440" w:type="dxa"/>
          </w:tcPr>
          <w:p w14:paraId="420477D1" w14:textId="707F7021" w:rsidR="001C5182" w:rsidRPr="00472028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14:paraId="4075718E" w14:textId="615A28AB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1C5182" w:rsidRPr="00472028" w14:paraId="2D95B7D5" w14:textId="77777777" w:rsidTr="004E0E40">
        <w:tc>
          <w:tcPr>
            <w:tcW w:w="1440" w:type="dxa"/>
          </w:tcPr>
          <w:p w14:paraId="518215B8" w14:textId="5AD70D6C" w:rsidR="001C5182" w:rsidRPr="00472028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14:paraId="068814E1" w14:textId="0B8799FE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1C5182" w:rsidRPr="00472028" w14:paraId="51406250" w14:textId="77777777" w:rsidTr="004E0E40">
        <w:tc>
          <w:tcPr>
            <w:tcW w:w="1440" w:type="dxa"/>
          </w:tcPr>
          <w:p w14:paraId="648C99F8" w14:textId="5FA64F5A" w:rsidR="001C5182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14:paraId="00FBA6F3" w14:textId="6F74DFEB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1C5182" w:rsidRPr="00472028" w14:paraId="799673A4" w14:textId="77777777" w:rsidTr="004E0E40">
        <w:tc>
          <w:tcPr>
            <w:tcW w:w="1440" w:type="dxa"/>
          </w:tcPr>
          <w:p w14:paraId="7ED97108" w14:textId="4FD52F8C" w:rsidR="001C5182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14:paraId="76D2370A" w14:textId="29AB67D9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1C5182" w:rsidRPr="00472028" w14:paraId="26E8E5AD" w14:textId="77777777" w:rsidTr="004E0E40">
        <w:tc>
          <w:tcPr>
            <w:tcW w:w="1440" w:type="dxa"/>
          </w:tcPr>
          <w:p w14:paraId="3E220813" w14:textId="51996424" w:rsidR="001C5182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3A9CA814" w14:textId="6FA5DC4A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1C5182" w:rsidRPr="00472028" w14:paraId="03FC204C" w14:textId="77777777" w:rsidTr="004E0E40">
        <w:tc>
          <w:tcPr>
            <w:tcW w:w="1440" w:type="dxa"/>
          </w:tcPr>
          <w:p w14:paraId="1F06D580" w14:textId="11DB35E2" w:rsidR="001C5182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72" w:type="dxa"/>
          </w:tcPr>
          <w:p w14:paraId="6439443F" w14:textId="2CD94235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1C5182" w:rsidRPr="00472028" w14:paraId="1A5EDF2E" w14:textId="77777777" w:rsidTr="004E0E40">
        <w:tc>
          <w:tcPr>
            <w:tcW w:w="1440" w:type="dxa"/>
          </w:tcPr>
          <w:p w14:paraId="39F4E026" w14:textId="5F125DCA" w:rsidR="001C5182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72" w:type="dxa"/>
          </w:tcPr>
          <w:p w14:paraId="0247DFBC" w14:textId="4DA7872F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1C5182" w:rsidRPr="00472028" w14:paraId="3FABD0EC" w14:textId="77777777" w:rsidTr="004E0E40">
        <w:tc>
          <w:tcPr>
            <w:tcW w:w="1440" w:type="dxa"/>
          </w:tcPr>
          <w:p w14:paraId="1187C809" w14:textId="47A07CB8" w:rsidR="001C5182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72" w:type="dxa"/>
          </w:tcPr>
          <w:p w14:paraId="2111B725" w14:textId="77163973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tr w:rsidR="001C5182" w:rsidRPr="00472028" w14:paraId="473BE3FE" w14:textId="77777777" w:rsidTr="004E0E40">
        <w:tc>
          <w:tcPr>
            <w:tcW w:w="1440" w:type="dxa"/>
          </w:tcPr>
          <w:p w14:paraId="72FCA370" w14:textId="5E97C009" w:rsidR="001C5182" w:rsidRDefault="001C5182" w:rsidP="00B54BFF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72" w:type="dxa"/>
          </w:tcPr>
          <w:p w14:paraId="6116EAD5" w14:textId="18DC3092" w:rsidR="001C5182" w:rsidRDefault="001C5182" w:rsidP="001C518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100%</w:t>
            </w:r>
          </w:p>
        </w:tc>
      </w:tr>
      <w:bookmarkEnd w:id="0"/>
    </w:tbl>
    <w:p w14:paraId="6062B35A" w14:textId="77777777" w:rsidR="00472028" w:rsidRPr="00472028" w:rsidRDefault="00472028" w:rsidP="0069796B">
      <w:pPr>
        <w:rPr>
          <w:rFonts w:cs="Times New Roman"/>
          <w:bCs/>
          <w:sz w:val="24"/>
          <w:szCs w:val="24"/>
        </w:rPr>
      </w:pPr>
    </w:p>
    <w:p w14:paraId="0AE1A178" w14:textId="3D69D254" w:rsidR="008E5746" w:rsidRPr="008E5746" w:rsidRDefault="008E5746" w:rsidP="008E5746">
      <w:pPr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SECTION I</w:t>
      </w:r>
      <w:r w:rsidR="001C5182">
        <w:rPr>
          <w:rFonts w:cs="Times New Roman"/>
          <w:b/>
          <w:sz w:val="24"/>
          <w:szCs w:val="24"/>
          <w:u w:val="single"/>
        </w:rPr>
        <w:t>II</w:t>
      </w:r>
    </w:p>
    <w:p w14:paraId="474FB6E5" w14:textId="77777777" w:rsidR="008E5746" w:rsidRPr="00472028" w:rsidRDefault="008E5746" w:rsidP="0069796B">
      <w:pPr>
        <w:jc w:val="center"/>
        <w:rPr>
          <w:rFonts w:cs="Times New Roman"/>
          <w:bCs/>
          <w:sz w:val="24"/>
          <w:szCs w:val="24"/>
        </w:rPr>
      </w:pPr>
    </w:p>
    <w:p w14:paraId="6062B35D" w14:textId="4697C3DD" w:rsidR="0069796B" w:rsidRPr="00472028" w:rsidRDefault="0069796B" w:rsidP="0069796B">
      <w:pPr>
        <w:rPr>
          <w:rFonts w:cs="Times New Roman"/>
          <w:bCs/>
          <w:sz w:val="24"/>
          <w:szCs w:val="24"/>
        </w:rPr>
      </w:pPr>
      <w:r w:rsidRPr="00472028">
        <w:rPr>
          <w:rFonts w:cs="Times New Roman"/>
          <w:bCs/>
          <w:sz w:val="24"/>
          <w:szCs w:val="24"/>
        </w:rPr>
        <w:tab/>
        <w:t>Th</w:t>
      </w:r>
      <w:r w:rsidR="001C5182">
        <w:rPr>
          <w:rFonts w:cs="Times New Roman"/>
          <w:bCs/>
          <w:sz w:val="24"/>
          <w:szCs w:val="24"/>
        </w:rPr>
        <w:t>e</w:t>
      </w:r>
      <w:r w:rsidRPr="00472028">
        <w:rPr>
          <w:rFonts w:cs="Times New Roman"/>
          <w:bCs/>
          <w:sz w:val="24"/>
          <w:szCs w:val="24"/>
        </w:rPr>
        <w:t xml:space="preserve"> Statement of Benefits submitted by </w:t>
      </w:r>
      <w:r w:rsidR="001C5182">
        <w:rPr>
          <w:rFonts w:cs="Times New Roman"/>
          <w:bCs/>
          <w:sz w:val="24"/>
          <w:szCs w:val="24"/>
        </w:rPr>
        <w:t xml:space="preserve">West </w:t>
      </w:r>
      <w:r w:rsidRPr="00472028">
        <w:rPr>
          <w:rFonts w:cs="Times New Roman"/>
          <w:bCs/>
          <w:sz w:val="24"/>
          <w:szCs w:val="24"/>
        </w:rPr>
        <w:t xml:space="preserve">with the Application are hereby approved and </w:t>
      </w:r>
      <w:r w:rsidR="009B03BB">
        <w:rPr>
          <w:rFonts w:cs="Times New Roman"/>
          <w:bCs/>
          <w:sz w:val="24"/>
          <w:szCs w:val="24"/>
        </w:rPr>
        <w:t>West</w:t>
      </w:r>
      <w:r w:rsidRPr="00472028">
        <w:rPr>
          <w:rFonts w:cs="Times New Roman"/>
          <w:bCs/>
          <w:sz w:val="24"/>
          <w:szCs w:val="24"/>
        </w:rPr>
        <w:t xml:space="preserve"> is entitled to deductions for </w:t>
      </w:r>
      <w:r w:rsidR="00826C33">
        <w:rPr>
          <w:rFonts w:cs="Times New Roman"/>
          <w:bCs/>
          <w:sz w:val="24"/>
          <w:szCs w:val="24"/>
        </w:rPr>
        <w:t xml:space="preserve">a </w:t>
      </w:r>
      <w:r w:rsidR="002804DA">
        <w:rPr>
          <w:rFonts w:cs="Times New Roman"/>
          <w:bCs/>
          <w:sz w:val="24"/>
          <w:szCs w:val="24"/>
        </w:rPr>
        <w:t>fi</w:t>
      </w:r>
      <w:r w:rsidR="001C5182">
        <w:rPr>
          <w:rFonts w:cs="Times New Roman"/>
          <w:bCs/>
          <w:sz w:val="24"/>
          <w:szCs w:val="24"/>
        </w:rPr>
        <w:t>fteen</w:t>
      </w:r>
      <w:r w:rsidRPr="00472028">
        <w:rPr>
          <w:rFonts w:cs="Times New Roman"/>
          <w:bCs/>
          <w:sz w:val="24"/>
          <w:szCs w:val="24"/>
        </w:rPr>
        <w:t xml:space="preserve"> (</w:t>
      </w:r>
      <w:r w:rsidR="001C5182">
        <w:rPr>
          <w:rFonts w:cs="Times New Roman"/>
          <w:bCs/>
          <w:sz w:val="24"/>
          <w:szCs w:val="24"/>
        </w:rPr>
        <w:t>1</w:t>
      </w:r>
      <w:r w:rsidR="002804DA">
        <w:rPr>
          <w:rFonts w:cs="Times New Roman"/>
          <w:bCs/>
          <w:sz w:val="24"/>
          <w:szCs w:val="24"/>
        </w:rPr>
        <w:t>5</w:t>
      </w:r>
      <w:r w:rsidRPr="00472028">
        <w:rPr>
          <w:rFonts w:cs="Times New Roman"/>
          <w:bCs/>
          <w:sz w:val="24"/>
          <w:szCs w:val="24"/>
        </w:rPr>
        <w:t>) year period as described above</w:t>
      </w:r>
      <w:r w:rsidR="001C5182">
        <w:rPr>
          <w:rFonts w:cs="Times New Roman"/>
          <w:bCs/>
          <w:sz w:val="24"/>
          <w:szCs w:val="24"/>
        </w:rPr>
        <w:t>, and the deduction schedule factors justify granting said deduction schedule</w:t>
      </w:r>
      <w:r w:rsidRPr="00472028">
        <w:rPr>
          <w:rFonts w:cs="Times New Roman"/>
          <w:bCs/>
          <w:sz w:val="24"/>
          <w:szCs w:val="24"/>
        </w:rPr>
        <w:t>.</w:t>
      </w:r>
    </w:p>
    <w:p w14:paraId="6062B35E" w14:textId="77777777" w:rsidR="00B22A96" w:rsidRPr="00472028" w:rsidRDefault="00B22A96" w:rsidP="0069796B">
      <w:pPr>
        <w:rPr>
          <w:rFonts w:cs="Times New Roman"/>
          <w:bCs/>
          <w:sz w:val="24"/>
          <w:szCs w:val="24"/>
        </w:rPr>
      </w:pPr>
    </w:p>
    <w:p w14:paraId="6062B35F" w14:textId="1420FAE4" w:rsidR="00B22A96" w:rsidRPr="009B03BB" w:rsidRDefault="00B22A96" w:rsidP="009B03BB">
      <w:pPr>
        <w:jc w:val="center"/>
        <w:rPr>
          <w:rFonts w:cs="Times New Roman"/>
          <w:b/>
          <w:bCs/>
          <w:sz w:val="24"/>
          <w:szCs w:val="24"/>
          <w:u w:val="single"/>
        </w:rPr>
      </w:pPr>
      <w:r w:rsidRPr="00472028">
        <w:rPr>
          <w:rFonts w:cs="Times New Roman"/>
          <w:b/>
          <w:bCs/>
          <w:sz w:val="24"/>
          <w:szCs w:val="24"/>
          <w:u w:val="single"/>
        </w:rPr>
        <w:t xml:space="preserve">SECTION </w:t>
      </w:r>
      <w:r w:rsidR="009B03BB">
        <w:rPr>
          <w:rFonts w:cs="Times New Roman"/>
          <w:b/>
          <w:bCs/>
          <w:sz w:val="24"/>
          <w:szCs w:val="24"/>
          <w:u w:val="single"/>
        </w:rPr>
        <w:t>I</w:t>
      </w:r>
      <w:r w:rsidRPr="00472028">
        <w:rPr>
          <w:rFonts w:cs="Times New Roman"/>
          <w:b/>
          <w:bCs/>
          <w:sz w:val="24"/>
          <w:szCs w:val="24"/>
          <w:u w:val="single"/>
        </w:rPr>
        <w:t>V</w:t>
      </w:r>
    </w:p>
    <w:p w14:paraId="6062B360" w14:textId="77777777" w:rsidR="00B22A96" w:rsidRPr="00472028" w:rsidRDefault="00B22A96" w:rsidP="00B22A96">
      <w:pPr>
        <w:rPr>
          <w:rFonts w:cs="Times New Roman"/>
          <w:bCs/>
          <w:sz w:val="24"/>
          <w:szCs w:val="24"/>
        </w:rPr>
      </w:pPr>
    </w:p>
    <w:p w14:paraId="6062B361" w14:textId="00E45F8C" w:rsidR="00B22A96" w:rsidRPr="00472028" w:rsidRDefault="00B22A96" w:rsidP="00B22A96">
      <w:pPr>
        <w:rPr>
          <w:rFonts w:cs="Times New Roman"/>
          <w:bCs/>
          <w:sz w:val="24"/>
          <w:szCs w:val="24"/>
        </w:rPr>
      </w:pPr>
      <w:r w:rsidRPr="00472028">
        <w:rPr>
          <w:rFonts w:cs="Times New Roman"/>
          <w:bCs/>
          <w:sz w:val="24"/>
          <w:szCs w:val="24"/>
        </w:rPr>
        <w:tab/>
        <w:t xml:space="preserve">That a public hearing shall be held at the time and place of the regular meeting of the </w:t>
      </w:r>
      <w:r w:rsidR="00826C33">
        <w:rPr>
          <w:rFonts w:cs="Times New Roman"/>
          <w:bCs/>
          <w:sz w:val="24"/>
          <w:szCs w:val="24"/>
        </w:rPr>
        <w:t>Common C</w:t>
      </w:r>
      <w:r w:rsidRPr="00472028">
        <w:rPr>
          <w:rFonts w:cs="Times New Roman"/>
          <w:bCs/>
          <w:sz w:val="24"/>
          <w:szCs w:val="24"/>
        </w:rPr>
        <w:t xml:space="preserve">ouncil on </w:t>
      </w:r>
      <w:r w:rsidR="009B03BB">
        <w:rPr>
          <w:rFonts w:cs="Times New Roman"/>
          <w:bCs/>
          <w:sz w:val="24"/>
          <w:szCs w:val="24"/>
        </w:rPr>
        <w:t>January 14</w:t>
      </w:r>
      <w:r w:rsidR="008E5746">
        <w:rPr>
          <w:rFonts w:cs="Times New Roman"/>
          <w:bCs/>
          <w:sz w:val="24"/>
          <w:szCs w:val="24"/>
        </w:rPr>
        <w:t xml:space="preserve">, </w:t>
      </w:r>
      <w:proofErr w:type="gramStart"/>
      <w:r w:rsidR="008E5746">
        <w:rPr>
          <w:rFonts w:cs="Times New Roman"/>
          <w:bCs/>
          <w:sz w:val="24"/>
          <w:szCs w:val="24"/>
        </w:rPr>
        <w:t>202</w:t>
      </w:r>
      <w:r w:rsidR="009B03BB">
        <w:rPr>
          <w:rFonts w:cs="Times New Roman"/>
          <w:bCs/>
          <w:sz w:val="24"/>
          <w:szCs w:val="24"/>
        </w:rPr>
        <w:t>6</w:t>
      </w:r>
      <w:proofErr w:type="gramEnd"/>
      <w:r w:rsidRPr="00472028">
        <w:rPr>
          <w:rFonts w:cs="Times New Roman"/>
          <w:bCs/>
          <w:sz w:val="24"/>
          <w:szCs w:val="24"/>
        </w:rPr>
        <w:t xml:space="preserve"> at 7:00 p.m. at City Hall, 10 S. State St., Greenfield, Indiana. Notice of </w:t>
      </w:r>
      <w:r w:rsidR="00826C33">
        <w:rPr>
          <w:rFonts w:cs="Times New Roman"/>
          <w:bCs/>
          <w:sz w:val="24"/>
          <w:szCs w:val="24"/>
        </w:rPr>
        <w:t>said</w:t>
      </w:r>
      <w:r w:rsidRPr="00472028">
        <w:rPr>
          <w:rFonts w:cs="Times New Roman"/>
          <w:bCs/>
          <w:sz w:val="24"/>
          <w:szCs w:val="24"/>
        </w:rPr>
        <w:t xml:space="preserve"> public hearing shall be provided pursuant to I.C. 5-3-1, at which hearing the Common Council shall hear all remonstrances and objections and consider whether to confirm, modify or rescind this resolution.</w:t>
      </w:r>
    </w:p>
    <w:p w14:paraId="6062B362" w14:textId="77777777" w:rsidR="00B22A96" w:rsidRPr="00472028" w:rsidRDefault="00B22A96" w:rsidP="00B22A96">
      <w:pPr>
        <w:rPr>
          <w:rFonts w:cs="Times New Roman"/>
          <w:bCs/>
          <w:sz w:val="24"/>
          <w:szCs w:val="24"/>
        </w:rPr>
      </w:pPr>
    </w:p>
    <w:p w14:paraId="6062B363" w14:textId="585DEC78" w:rsidR="00B22A96" w:rsidRPr="00472028" w:rsidRDefault="00B22A96" w:rsidP="00B22A96">
      <w:pPr>
        <w:jc w:val="center"/>
        <w:rPr>
          <w:rFonts w:cs="Times New Roman"/>
          <w:b/>
          <w:bCs/>
          <w:sz w:val="24"/>
          <w:szCs w:val="24"/>
          <w:u w:val="single"/>
        </w:rPr>
      </w:pPr>
      <w:r w:rsidRPr="00472028">
        <w:rPr>
          <w:rFonts w:cs="Times New Roman"/>
          <w:b/>
          <w:bCs/>
          <w:sz w:val="24"/>
          <w:szCs w:val="24"/>
          <w:u w:val="single"/>
        </w:rPr>
        <w:t>SECTION V</w:t>
      </w:r>
    </w:p>
    <w:p w14:paraId="6062B364" w14:textId="77777777" w:rsidR="00B22A96" w:rsidRPr="00472028" w:rsidRDefault="00B22A96" w:rsidP="00B22A96">
      <w:pPr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6062B365" w14:textId="44DC7414" w:rsidR="00B22A96" w:rsidRPr="00472028" w:rsidRDefault="00B22A96" w:rsidP="00B22A96">
      <w:pPr>
        <w:rPr>
          <w:rFonts w:cs="Times New Roman"/>
          <w:bCs/>
          <w:sz w:val="24"/>
          <w:szCs w:val="24"/>
        </w:rPr>
      </w:pPr>
      <w:r w:rsidRPr="00472028">
        <w:rPr>
          <w:rFonts w:cs="Times New Roman"/>
          <w:bCs/>
          <w:sz w:val="24"/>
          <w:szCs w:val="24"/>
        </w:rPr>
        <w:tab/>
        <w:t>That a certified copy of this Resolution, including Exhibit</w:t>
      </w:r>
      <w:r w:rsidR="002804DA">
        <w:rPr>
          <w:rFonts w:cs="Times New Roman"/>
          <w:bCs/>
          <w:sz w:val="24"/>
          <w:szCs w:val="24"/>
        </w:rPr>
        <w:t>s</w:t>
      </w:r>
      <w:r w:rsidRPr="00472028">
        <w:rPr>
          <w:rFonts w:cs="Times New Roman"/>
          <w:bCs/>
          <w:sz w:val="24"/>
          <w:szCs w:val="24"/>
        </w:rPr>
        <w:t xml:space="preserve"> A</w:t>
      </w:r>
      <w:r w:rsidR="009B03BB">
        <w:rPr>
          <w:rFonts w:cs="Times New Roman"/>
          <w:bCs/>
          <w:sz w:val="24"/>
          <w:szCs w:val="24"/>
        </w:rPr>
        <w:t xml:space="preserve"> and</w:t>
      </w:r>
      <w:r w:rsidR="002804DA">
        <w:rPr>
          <w:rFonts w:cs="Times New Roman"/>
          <w:bCs/>
          <w:sz w:val="24"/>
          <w:szCs w:val="24"/>
        </w:rPr>
        <w:t xml:space="preserve"> B</w:t>
      </w:r>
      <w:r w:rsidR="009B03BB">
        <w:rPr>
          <w:rFonts w:cs="Times New Roman"/>
          <w:bCs/>
          <w:sz w:val="24"/>
          <w:szCs w:val="24"/>
        </w:rPr>
        <w:t xml:space="preserve"> </w:t>
      </w:r>
      <w:r w:rsidRPr="00472028">
        <w:rPr>
          <w:rFonts w:cs="Times New Roman"/>
          <w:bCs/>
          <w:sz w:val="24"/>
          <w:szCs w:val="24"/>
        </w:rPr>
        <w:t>attached hereto, shall be filed with the Clerk-Treasurer of the City of Greenfield, Indiana.</w:t>
      </w:r>
    </w:p>
    <w:p w14:paraId="6062B366" w14:textId="77777777" w:rsidR="00B22A96" w:rsidRDefault="00B22A96" w:rsidP="00B22A96">
      <w:pPr>
        <w:rPr>
          <w:rFonts w:cs="Times New Roman"/>
          <w:bCs/>
          <w:sz w:val="24"/>
          <w:szCs w:val="24"/>
        </w:rPr>
      </w:pPr>
    </w:p>
    <w:p w14:paraId="228D7995" w14:textId="77777777" w:rsidR="00826C33" w:rsidRDefault="00826C33" w:rsidP="00B22A96">
      <w:pPr>
        <w:rPr>
          <w:rFonts w:cs="Times New Roman"/>
          <w:bCs/>
          <w:sz w:val="24"/>
          <w:szCs w:val="24"/>
        </w:rPr>
      </w:pPr>
    </w:p>
    <w:p w14:paraId="6062B369" w14:textId="2645A331" w:rsidR="00B22A96" w:rsidRPr="00472028" w:rsidRDefault="00B22A96" w:rsidP="00B22A96">
      <w:pPr>
        <w:jc w:val="center"/>
        <w:rPr>
          <w:rFonts w:cs="Times New Roman"/>
          <w:b/>
          <w:bCs/>
          <w:sz w:val="24"/>
          <w:szCs w:val="24"/>
          <w:u w:val="single"/>
        </w:rPr>
      </w:pPr>
      <w:r w:rsidRPr="00472028">
        <w:rPr>
          <w:rFonts w:cs="Times New Roman"/>
          <w:b/>
          <w:bCs/>
          <w:sz w:val="24"/>
          <w:szCs w:val="24"/>
          <w:u w:val="single"/>
        </w:rPr>
        <w:t>SECTION VI</w:t>
      </w:r>
    </w:p>
    <w:p w14:paraId="6062B36A" w14:textId="77777777" w:rsidR="001768B7" w:rsidRPr="00472028" w:rsidRDefault="001768B7" w:rsidP="001768B7">
      <w:pPr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6062B36B" w14:textId="77777777" w:rsidR="001768B7" w:rsidRPr="00472028" w:rsidRDefault="001768B7" w:rsidP="001768B7">
      <w:pPr>
        <w:rPr>
          <w:rFonts w:cs="Times New Roman"/>
          <w:bCs/>
          <w:sz w:val="24"/>
          <w:szCs w:val="24"/>
        </w:rPr>
      </w:pPr>
      <w:r w:rsidRPr="00472028">
        <w:rPr>
          <w:rFonts w:cs="Times New Roman"/>
          <w:bCs/>
          <w:sz w:val="24"/>
          <w:szCs w:val="24"/>
        </w:rPr>
        <w:tab/>
        <w:t xml:space="preserve">This Resolution shall be in full force and effect from and after its </w:t>
      </w:r>
      <w:r w:rsidR="00B42449" w:rsidRPr="00472028">
        <w:rPr>
          <w:rFonts w:cs="Times New Roman"/>
          <w:bCs/>
          <w:sz w:val="24"/>
          <w:szCs w:val="24"/>
        </w:rPr>
        <w:t>passage, execution, and publication as required by law.</w:t>
      </w:r>
    </w:p>
    <w:p w14:paraId="6062B36C" w14:textId="77777777" w:rsidR="00B42449" w:rsidRPr="00472028" w:rsidRDefault="00B42449" w:rsidP="001768B7">
      <w:pPr>
        <w:rPr>
          <w:rFonts w:cs="Times New Roman"/>
          <w:bCs/>
          <w:sz w:val="24"/>
          <w:szCs w:val="24"/>
        </w:rPr>
      </w:pPr>
    </w:p>
    <w:p w14:paraId="6062B36D" w14:textId="02D3B81E" w:rsidR="00B42449" w:rsidRPr="00472028" w:rsidRDefault="00B42449" w:rsidP="001768B7">
      <w:pPr>
        <w:rPr>
          <w:rFonts w:cs="Times New Roman"/>
          <w:bCs/>
          <w:sz w:val="24"/>
          <w:szCs w:val="24"/>
        </w:rPr>
      </w:pPr>
      <w:r w:rsidRPr="00472028">
        <w:rPr>
          <w:rFonts w:cs="Times New Roman"/>
          <w:bCs/>
          <w:sz w:val="24"/>
          <w:szCs w:val="24"/>
        </w:rPr>
        <w:tab/>
        <w:t xml:space="preserve">Adopted this </w:t>
      </w:r>
      <w:r w:rsidR="00B22A96" w:rsidRPr="00472028">
        <w:rPr>
          <w:rFonts w:cs="Times New Roman"/>
          <w:bCs/>
          <w:sz w:val="24"/>
          <w:szCs w:val="24"/>
        </w:rPr>
        <w:t>__</w:t>
      </w:r>
      <w:r w:rsidR="00CA19C6">
        <w:rPr>
          <w:rFonts w:cs="Times New Roman"/>
          <w:bCs/>
          <w:sz w:val="24"/>
          <w:szCs w:val="24"/>
        </w:rPr>
        <w:t>_</w:t>
      </w:r>
      <w:r w:rsidR="00B22A96" w:rsidRPr="00472028">
        <w:rPr>
          <w:rFonts w:cs="Times New Roman"/>
          <w:bCs/>
          <w:sz w:val="24"/>
          <w:szCs w:val="24"/>
        </w:rPr>
        <w:t xml:space="preserve">__ </w:t>
      </w:r>
      <w:r w:rsidRPr="00472028">
        <w:rPr>
          <w:rFonts w:cs="Times New Roman"/>
          <w:bCs/>
          <w:sz w:val="24"/>
          <w:szCs w:val="24"/>
        </w:rPr>
        <w:t xml:space="preserve">day of </w:t>
      </w:r>
      <w:r w:rsidR="00971C9D">
        <w:rPr>
          <w:rFonts w:cs="Times New Roman"/>
          <w:bCs/>
          <w:sz w:val="24"/>
          <w:szCs w:val="24"/>
        </w:rPr>
        <w:t>__________________</w:t>
      </w:r>
      <w:r w:rsidRPr="00472028">
        <w:rPr>
          <w:rFonts w:cs="Times New Roman"/>
          <w:bCs/>
          <w:sz w:val="24"/>
          <w:szCs w:val="24"/>
        </w:rPr>
        <w:t>, 20</w:t>
      </w:r>
      <w:r w:rsidR="00971C9D">
        <w:rPr>
          <w:rFonts w:cs="Times New Roman"/>
          <w:bCs/>
          <w:sz w:val="24"/>
          <w:szCs w:val="24"/>
        </w:rPr>
        <w:t>2</w:t>
      </w:r>
      <w:r w:rsidR="009B03BB">
        <w:rPr>
          <w:rFonts w:cs="Times New Roman"/>
          <w:bCs/>
          <w:sz w:val="24"/>
          <w:szCs w:val="24"/>
        </w:rPr>
        <w:t>6</w:t>
      </w:r>
      <w:r w:rsidRPr="00472028">
        <w:rPr>
          <w:rFonts w:cs="Times New Roman"/>
          <w:bCs/>
          <w:sz w:val="24"/>
          <w:szCs w:val="24"/>
        </w:rPr>
        <w:t>.</w:t>
      </w:r>
    </w:p>
    <w:p w14:paraId="6062B36E" w14:textId="77777777" w:rsidR="00F15677" w:rsidRPr="00472028" w:rsidRDefault="00F15677" w:rsidP="00F156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5DC2C9F2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b/>
          <w:color w:val="000000"/>
          <w:sz w:val="24"/>
          <w:szCs w:val="24"/>
        </w:rPr>
      </w:pPr>
      <w:bookmarkStart w:id="1" w:name="_Hlk206060684"/>
      <w:r w:rsidRPr="00BD2AE2">
        <w:rPr>
          <w:rFonts w:cs="Times New Roman"/>
          <w:b/>
          <w:color w:val="000000"/>
          <w:sz w:val="24"/>
          <w:szCs w:val="24"/>
        </w:rPr>
        <w:t>COMMON COUNCIL OF THE CITY OF GREENFIELD, INDIANA</w:t>
      </w:r>
    </w:p>
    <w:p w14:paraId="14CA3976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2D0B109A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>Voting Affirmative:</w:t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  <w:t>Voting Opposed:</w:t>
      </w:r>
    </w:p>
    <w:p w14:paraId="1C88A848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41AC9ECF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proofErr w:type="gramStart"/>
      <w:r w:rsidRPr="00A930C4">
        <w:rPr>
          <w:rFonts w:cs="Times New Roman"/>
          <w:color w:val="000000"/>
          <w:sz w:val="24"/>
          <w:szCs w:val="24"/>
        </w:rPr>
        <w:t>___________________________________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proofErr w:type="gramEnd"/>
      <w:r w:rsidRPr="00A930C4">
        <w:rPr>
          <w:rFonts w:cs="Times New Roman"/>
          <w:color w:val="000000"/>
          <w:sz w:val="24"/>
          <w:szCs w:val="24"/>
        </w:rPr>
        <w:t>____________________________________</w:t>
      </w:r>
    </w:p>
    <w:p w14:paraId="16553E13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A930C4">
        <w:rPr>
          <w:rFonts w:cs="Times New Roman"/>
          <w:color w:val="000000"/>
          <w:sz w:val="24"/>
          <w:szCs w:val="24"/>
        </w:rPr>
        <w:t>John Jester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  <w:t>John Jester</w:t>
      </w:r>
    </w:p>
    <w:p w14:paraId="5F3B0E55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77A1ABE4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proofErr w:type="gramStart"/>
      <w:r w:rsidRPr="00A930C4">
        <w:rPr>
          <w:rFonts w:cs="Times New Roman"/>
          <w:color w:val="000000"/>
          <w:sz w:val="24"/>
          <w:szCs w:val="24"/>
        </w:rPr>
        <w:t>___________________________________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proofErr w:type="gramEnd"/>
      <w:r w:rsidRPr="00A930C4">
        <w:rPr>
          <w:rFonts w:cs="Times New Roman"/>
          <w:color w:val="000000"/>
          <w:sz w:val="24"/>
          <w:szCs w:val="24"/>
        </w:rPr>
        <w:t>____________________________________</w:t>
      </w:r>
    </w:p>
    <w:p w14:paraId="104C41F1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A930C4">
        <w:rPr>
          <w:rFonts w:cs="Times New Roman"/>
          <w:color w:val="000000"/>
          <w:sz w:val="24"/>
          <w:szCs w:val="24"/>
        </w:rPr>
        <w:t>Amy Kirkpatrick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  <w:t>Amy Kirkpatrick</w:t>
      </w:r>
    </w:p>
    <w:p w14:paraId="588A749E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52A8C8D5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proofErr w:type="gramStart"/>
      <w:r w:rsidRPr="00A930C4">
        <w:rPr>
          <w:rFonts w:cs="Times New Roman"/>
          <w:color w:val="000000"/>
          <w:sz w:val="24"/>
          <w:szCs w:val="24"/>
        </w:rPr>
        <w:t>___________________________________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proofErr w:type="gramEnd"/>
      <w:r w:rsidRPr="00A930C4">
        <w:rPr>
          <w:rFonts w:cs="Times New Roman"/>
          <w:color w:val="000000"/>
          <w:sz w:val="24"/>
          <w:szCs w:val="24"/>
        </w:rPr>
        <w:t>____________________________________</w:t>
      </w:r>
    </w:p>
    <w:p w14:paraId="302D81C0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A930C4">
        <w:rPr>
          <w:rFonts w:cs="Times New Roman"/>
          <w:color w:val="000000"/>
          <w:sz w:val="24"/>
          <w:szCs w:val="24"/>
        </w:rPr>
        <w:t>Jeff Lowder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  <w:t>Jeff Lowder</w:t>
      </w:r>
    </w:p>
    <w:p w14:paraId="5CD76B94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4F46FBE2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proofErr w:type="gramStart"/>
      <w:r w:rsidRPr="00A930C4">
        <w:rPr>
          <w:rFonts w:cs="Times New Roman"/>
          <w:color w:val="000000"/>
          <w:sz w:val="24"/>
          <w:szCs w:val="24"/>
        </w:rPr>
        <w:t>___________________________________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proofErr w:type="gramEnd"/>
      <w:r w:rsidRPr="00A930C4">
        <w:rPr>
          <w:rFonts w:cs="Times New Roman"/>
          <w:color w:val="000000"/>
          <w:sz w:val="24"/>
          <w:szCs w:val="24"/>
        </w:rPr>
        <w:t>____________________________________</w:t>
      </w:r>
    </w:p>
    <w:p w14:paraId="7139F540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A930C4">
        <w:rPr>
          <w:rFonts w:cs="Times New Roman"/>
          <w:color w:val="000000"/>
          <w:sz w:val="24"/>
          <w:szCs w:val="24"/>
        </w:rPr>
        <w:t>Thomas Moore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  <w:t>Thomas Moore</w:t>
      </w:r>
    </w:p>
    <w:p w14:paraId="57828485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4522CE4A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proofErr w:type="gramStart"/>
      <w:r w:rsidRPr="00A930C4">
        <w:rPr>
          <w:rFonts w:cs="Times New Roman"/>
          <w:color w:val="000000"/>
          <w:sz w:val="24"/>
          <w:szCs w:val="24"/>
        </w:rPr>
        <w:t>___________________________________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proofErr w:type="gramEnd"/>
      <w:r w:rsidRPr="00A930C4">
        <w:rPr>
          <w:rFonts w:cs="Times New Roman"/>
          <w:color w:val="000000"/>
          <w:sz w:val="24"/>
          <w:szCs w:val="24"/>
        </w:rPr>
        <w:t>____________________________________</w:t>
      </w:r>
    </w:p>
    <w:p w14:paraId="6350BCE8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A930C4">
        <w:rPr>
          <w:rFonts w:cs="Times New Roman"/>
          <w:color w:val="000000"/>
          <w:sz w:val="24"/>
          <w:szCs w:val="24"/>
        </w:rPr>
        <w:t>Joyce Plisinski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  <w:t>Joyce Plisinski</w:t>
      </w:r>
    </w:p>
    <w:p w14:paraId="2B6BE9D2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65F5F973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proofErr w:type="gramStart"/>
      <w:r w:rsidRPr="00A930C4">
        <w:rPr>
          <w:rFonts w:cs="Times New Roman"/>
          <w:color w:val="000000"/>
          <w:sz w:val="24"/>
          <w:szCs w:val="24"/>
        </w:rPr>
        <w:t>___________________________________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proofErr w:type="gramEnd"/>
      <w:r w:rsidRPr="00A930C4">
        <w:rPr>
          <w:rFonts w:cs="Times New Roman"/>
          <w:color w:val="000000"/>
          <w:sz w:val="24"/>
          <w:szCs w:val="24"/>
        </w:rPr>
        <w:t>____________________________________</w:t>
      </w:r>
    </w:p>
    <w:p w14:paraId="286F9AA7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A930C4">
        <w:rPr>
          <w:rFonts w:cs="Times New Roman"/>
          <w:color w:val="000000"/>
          <w:sz w:val="24"/>
          <w:szCs w:val="24"/>
        </w:rPr>
        <w:t>Dan Riley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  <w:t>Dan Riley</w:t>
      </w:r>
    </w:p>
    <w:p w14:paraId="5C8CC565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1F7D8D88" w14:textId="77777777" w:rsidR="008E5746" w:rsidRPr="00A930C4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proofErr w:type="gramStart"/>
      <w:r w:rsidRPr="00A930C4">
        <w:rPr>
          <w:rFonts w:cs="Times New Roman"/>
          <w:color w:val="000000"/>
          <w:sz w:val="24"/>
          <w:szCs w:val="24"/>
        </w:rPr>
        <w:t>___________________________________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proofErr w:type="gramEnd"/>
      <w:r w:rsidRPr="00A930C4">
        <w:rPr>
          <w:rFonts w:cs="Times New Roman"/>
          <w:color w:val="000000"/>
          <w:sz w:val="24"/>
          <w:szCs w:val="24"/>
        </w:rPr>
        <w:t>____________________________________</w:t>
      </w:r>
    </w:p>
    <w:p w14:paraId="2EAB6C14" w14:textId="77777777" w:rsidR="008E5746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A930C4">
        <w:rPr>
          <w:rFonts w:cs="Times New Roman"/>
          <w:color w:val="000000"/>
          <w:sz w:val="24"/>
          <w:szCs w:val="24"/>
        </w:rPr>
        <w:t>Anthony Scott</w:t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</w:r>
      <w:r w:rsidRPr="00A930C4">
        <w:rPr>
          <w:rFonts w:cs="Times New Roman"/>
          <w:color w:val="000000"/>
          <w:sz w:val="24"/>
          <w:szCs w:val="24"/>
        </w:rPr>
        <w:tab/>
        <w:t>Anthony Scott</w:t>
      </w:r>
    </w:p>
    <w:p w14:paraId="015E14A9" w14:textId="77777777" w:rsidR="008E5746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114B3F42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>ATTEST:</w:t>
      </w:r>
    </w:p>
    <w:p w14:paraId="0EC692BC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72F7E769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>________________________</w:t>
      </w:r>
      <w:r>
        <w:rPr>
          <w:rFonts w:cs="Times New Roman"/>
          <w:color w:val="000000"/>
          <w:sz w:val="24"/>
          <w:szCs w:val="24"/>
        </w:rPr>
        <w:t>___</w:t>
      </w:r>
      <w:r w:rsidRPr="00BD2AE2">
        <w:rPr>
          <w:rFonts w:cs="Times New Roman"/>
          <w:color w:val="000000"/>
          <w:sz w:val="24"/>
          <w:szCs w:val="24"/>
        </w:rPr>
        <w:t>________</w:t>
      </w:r>
    </w:p>
    <w:p w14:paraId="2B7596AD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>Lori Elmore, Clerk-Treasurer</w:t>
      </w:r>
    </w:p>
    <w:p w14:paraId="59223FE4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11F9EDE4" w14:textId="4CEB15C6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 xml:space="preserve">Presented by me to the </w:t>
      </w:r>
      <w:proofErr w:type="gramStart"/>
      <w:r w:rsidRPr="00BD2AE2">
        <w:rPr>
          <w:rFonts w:cs="Times New Roman"/>
          <w:color w:val="000000"/>
          <w:sz w:val="24"/>
          <w:szCs w:val="24"/>
        </w:rPr>
        <w:t>Mayor</w:t>
      </w:r>
      <w:proofErr w:type="gramEnd"/>
      <w:r w:rsidRPr="00BD2AE2">
        <w:rPr>
          <w:rFonts w:cs="Times New Roman"/>
          <w:color w:val="000000"/>
          <w:sz w:val="24"/>
          <w:szCs w:val="24"/>
        </w:rPr>
        <w:t xml:space="preserve"> this </w:t>
      </w:r>
      <w:r>
        <w:rPr>
          <w:rFonts w:cs="Times New Roman"/>
          <w:color w:val="000000"/>
          <w:sz w:val="24"/>
          <w:szCs w:val="24"/>
        </w:rPr>
        <w:t xml:space="preserve">_____ </w:t>
      </w:r>
      <w:r w:rsidRPr="00BD2AE2">
        <w:rPr>
          <w:rFonts w:cs="Times New Roman"/>
          <w:color w:val="000000"/>
          <w:sz w:val="24"/>
          <w:szCs w:val="24"/>
        </w:rPr>
        <w:t xml:space="preserve">day of </w:t>
      </w:r>
      <w:r>
        <w:rPr>
          <w:rFonts w:cs="Times New Roman"/>
          <w:color w:val="000000"/>
          <w:sz w:val="24"/>
          <w:szCs w:val="24"/>
        </w:rPr>
        <w:t>_________________</w:t>
      </w:r>
      <w:r w:rsidRPr="00BD2AE2">
        <w:rPr>
          <w:rFonts w:cs="Times New Roman"/>
          <w:color w:val="000000"/>
          <w:sz w:val="24"/>
          <w:szCs w:val="24"/>
        </w:rPr>
        <w:t>, 20</w:t>
      </w:r>
      <w:r>
        <w:rPr>
          <w:rFonts w:cs="Times New Roman"/>
          <w:color w:val="000000"/>
          <w:sz w:val="24"/>
          <w:szCs w:val="24"/>
        </w:rPr>
        <w:t>2</w:t>
      </w:r>
      <w:r w:rsidR="009B03BB">
        <w:rPr>
          <w:rFonts w:cs="Times New Roman"/>
          <w:color w:val="000000"/>
          <w:sz w:val="24"/>
          <w:szCs w:val="24"/>
        </w:rPr>
        <w:t>6</w:t>
      </w:r>
      <w:r w:rsidRPr="00BD2AE2">
        <w:rPr>
          <w:rFonts w:cs="Times New Roman"/>
          <w:color w:val="000000"/>
          <w:sz w:val="24"/>
          <w:szCs w:val="24"/>
        </w:rPr>
        <w:t>.</w:t>
      </w:r>
    </w:p>
    <w:p w14:paraId="3C27F20F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637E060F" w14:textId="77777777" w:rsidR="008E5746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35BAEF30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74BB5AC4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>______________________________________</w:t>
      </w:r>
      <w:r>
        <w:rPr>
          <w:rFonts w:cs="Times New Roman"/>
          <w:color w:val="000000"/>
          <w:sz w:val="24"/>
          <w:szCs w:val="24"/>
        </w:rPr>
        <w:t>____</w:t>
      </w:r>
    </w:p>
    <w:p w14:paraId="529611EE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>Lori Elmore, Clerk-Treasurer</w:t>
      </w:r>
    </w:p>
    <w:p w14:paraId="623AB3B2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010CA483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5D0FD7D5" w14:textId="359FAF70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 xml:space="preserve">Approved by me this </w:t>
      </w:r>
      <w:r>
        <w:rPr>
          <w:rFonts w:cs="Times New Roman"/>
          <w:color w:val="000000"/>
          <w:sz w:val="24"/>
          <w:szCs w:val="24"/>
        </w:rPr>
        <w:t xml:space="preserve">_____ </w:t>
      </w:r>
      <w:r w:rsidRPr="00BD2AE2">
        <w:rPr>
          <w:rFonts w:cs="Times New Roman"/>
          <w:color w:val="000000"/>
          <w:sz w:val="24"/>
          <w:szCs w:val="24"/>
        </w:rPr>
        <w:t xml:space="preserve">day of </w:t>
      </w:r>
      <w:r>
        <w:rPr>
          <w:rFonts w:cs="Times New Roman"/>
          <w:color w:val="000000"/>
          <w:sz w:val="24"/>
          <w:szCs w:val="24"/>
        </w:rPr>
        <w:t>__________________</w:t>
      </w:r>
      <w:r w:rsidRPr="00BD2AE2">
        <w:rPr>
          <w:rFonts w:cs="Times New Roman"/>
          <w:color w:val="000000"/>
          <w:sz w:val="24"/>
          <w:szCs w:val="24"/>
        </w:rPr>
        <w:t>, 20</w:t>
      </w:r>
      <w:r w:rsidR="009B03BB">
        <w:rPr>
          <w:rFonts w:cs="Times New Roman"/>
          <w:color w:val="000000"/>
          <w:sz w:val="24"/>
          <w:szCs w:val="24"/>
        </w:rPr>
        <w:t>26</w:t>
      </w:r>
      <w:r w:rsidRPr="00BD2AE2">
        <w:rPr>
          <w:rFonts w:cs="Times New Roman"/>
          <w:color w:val="000000"/>
          <w:sz w:val="24"/>
          <w:szCs w:val="24"/>
        </w:rPr>
        <w:t>.</w:t>
      </w:r>
    </w:p>
    <w:p w14:paraId="43D7E098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4BD000D5" w14:textId="77777777" w:rsidR="008E5746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6DBE8EA9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</w:p>
    <w:p w14:paraId="05BCCE83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  <w:t>______________________________________</w:t>
      </w:r>
      <w:r>
        <w:rPr>
          <w:rFonts w:cs="Times New Roman"/>
          <w:color w:val="000000"/>
          <w:sz w:val="24"/>
          <w:szCs w:val="24"/>
        </w:rPr>
        <w:t>____</w:t>
      </w:r>
    </w:p>
    <w:p w14:paraId="374B36FB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>Guy Titus</w:t>
      </w:r>
      <w:r w:rsidRPr="00BD2AE2">
        <w:rPr>
          <w:rFonts w:cs="Times New Roman"/>
          <w:color w:val="000000"/>
          <w:sz w:val="24"/>
          <w:szCs w:val="24"/>
        </w:rPr>
        <w:t>, Mayor</w:t>
      </w:r>
    </w:p>
    <w:p w14:paraId="5B890849" w14:textId="77777777" w:rsidR="008E5746" w:rsidRPr="00BD2AE2" w:rsidRDefault="008E5746" w:rsidP="008E57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cs="Times New Roman"/>
          <w:color w:val="000000"/>
          <w:sz w:val="24"/>
          <w:szCs w:val="24"/>
        </w:rPr>
      </w:pP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</w:r>
      <w:r w:rsidRPr="00BD2AE2">
        <w:rPr>
          <w:rFonts w:cs="Times New Roman"/>
          <w:color w:val="000000"/>
          <w:sz w:val="24"/>
          <w:szCs w:val="24"/>
        </w:rPr>
        <w:tab/>
        <w:t>City of Greenfield, Indiana</w:t>
      </w:r>
    </w:p>
    <w:p w14:paraId="71181FAD" w14:textId="4584324C" w:rsidR="002879EA" w:rsidRDefault="002879EA" w:rsidP="00817A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Cs w:val="26"/>
        </w:rPr>
      </w:pPr>
    </w:p>
    <w:bookmarkEnd w:id="1"/>
    <w:p w14:paraId="7B8A7096" w14:textId="090E28AD" w:rsidR="002879EA" w:rsidRDefault="002879EA" w:rsidP="00817A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Cs w:val="26"/>
        </w:rPr>
      </w:pPr>
    </w:p>
    <w:p w14:paraId="7F3B23D3" w14:textId="77777777" w:rsidR="002879EA" w:rsidRDefault="002879EA" w:rsidP="00817A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Cs w:val="26"/>
        </w:rPr>
      </w:pPr>
    </w:p>
    <w:p w14:paraId="6062B39D" w14:textId="22EA0D32" w:rsidR="000220ED" w:rsidRPr="006545BF" w:rsidRDefault="000220ED" w:rsidP="006545B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color w:val="000000"/>
          <w:sz w:val="18"/>
          <w:szCs w:val="18"/>
        </w:rPr>
      </w:pPr>
      <w:r w:rsidRPr="006545BF">
        <w:rPr>
          <w:color w:val="000000"/>
          <w:sz w:val="18"/>
          <w:szCs w:val="18"/>
        </w:rPr>
        <w:t>Gregg/MUNICIPAL/Greenfield/Tax Abatement/</w:t>
      </w:r>
      <w:r w:rsidR="009B03BB">
        <w:rPr>
          <w:color w:val="000000"/>
          <w:sz w:val="18"/>
          <w:szCs w:val="18"/>
        </w:rPr>
        <w:t>West Pharmaceuticals</w:t>
      </w:r>
      <w:r w:rsidR="00971C9D">
        <w:rPr>
          <w:color w:val="000000"/>
          <w:sz w:val="18"/>
          <w:szCs w:val="18"/>
        </w:rPr>
        <w:t>/</w:t>
      </w:r>
      <w:r w:rsidRPr="006545BF">
        <w:rPr>
          <w:color w:val="000000"/>
          <w:sz w:val="18"/>
          <w:szCs w:val="18"/>
        </w:rPr>
        <w:t xml:space="preserve">Declaratory Resolution – </w:t>
      </w:r>
      <w:r w:rsidR="009B03BB">
        <w:rPr>
          <w:color w:val="000000"/>
          <w:sz w:val="18"/>
          <w:szCs w:val="18"/>
        </w:rPr>
        <w:t>11</w:t>
      </w:r>
      <w:r w:rsidR="00971C9D">
        <w:rPr>
          <w:color w:val="000000"/>
          <w:sz w:val="18"/>
          <w:szCs w:val="18"/>
        </w:rPr>
        <w:t>-</w:t>
      </w:r>
      <w:r w:rsidR="008E5746">
        <w:rPr>
          <w:color w:val="000000"/>
          <w:sz w:val="18"/>
          <w:szCs w:val="18"/>
        </w:rPr>
        <w:t>1</w:t>
      </w:r>
      <w:r w:rsidR="009B03BB">
        <w:rPr>
          <w:color w:val="000000"/>
          <w:sz w:val="18"/>
          <w:szCs w:val="18"/>
        </w:rPr>
        <w:t>8</w:t>
      </w:r>
      <w:r w:rsidR="00971C9D">
        <w:rPr>
          <w:color w:val="000000"/>
          <w:sz w:val="18"/>
          <w:szCs w:val="18"/>
        </w:rPr>
        <w:t>-2</w:t>
      </w:r>
      <w:r w:rsidR="008E5746">
        <w:rPr>
          <w:color w:val="000000"/>
          <w:sz w:val="18"/>
          <w:szCs w:val="18"/>
        </w:rPr>
        <w:t>5</w:t>
      </w:r>
    </w:p>
    <w:sectPr w:rsidR="000220ED" w:rsidRPr="006545BF" w:rsidSect="008E5746">
      <w:pgSz w:w="12240" w:h="20160" w:code="5"/>
      <w:pgMar w:top="216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7B"/>
    <w:rsid w:val="00000EAD"/>
    <w:rsid w:val="000220ED"/>
    <w:rsid w:val="00023D49"/>
    <w:rsid w:val="00033586"/>
    <w:rsid w:val="00052AD7"/>
    <w:rsid w:val="0005366E"/>
    <w:rsid w:val="00070F37"/>
    <w:rsid w:val="000B1AC1"/>
    <w:rsid w:val="000D5A2E"/>
    <w:rsid w:val="000D7284"/>
    <w:rsid w:val="000F0F61"/>
    <w:rsid w:val="00123279"/>
    <w:rsid w:val="00150BB3"/>
    <w:rsid w:val="001768B7"/>
    <w:rsid w:val="001815E1"/>
    <w:rsid w:val="001863F1"/>
    <w:rsid w:val="001B419D"/>
    <w:rsid w:val="001C5182"/>
    <w:rsid w:val="001E0959"/>
    <w:rsid w:val="0021660E"/>
    <w:rsid w:val="002200EC"/>
    <w:rsid w:val="00253D00"/>
    <w:rsid w:val="002804DA"/>
    <w:rsid w:val="002879EA"/>
    <w:rsid w:val="00287D7B"/>
    <w:rsid w:val="002B045F"/>
    <w:rsid w:val="002E7D89"/>
    <w:rsid w:val="00306AC5"/>
    <w:rsid w:val="003156AD"/>
    <w:rsid w:val="003715AD"/>
    <w:rsid w:val="0039148A"/>
    <w:rsid w:val="003A0FB9"/>
    <w:rsid w:val="00450A5D"/>
    <w:rsid w:val="00472028"/>
    <w:rsid w:val="004E0E40"/>
    <w:rsid w:val="005768E2"/>
    <w:rsid w:val="005A0192"/>
    <w:rsid w:val="005B3451"/>
    <w:rsid w:val="005C7A11"/>
    <w:rsid w:val="005D7D9E"/>
    <w:rsid w:val="0060753A"/>
    <w:rsid w:val="006145A5"/>
    <w:rsid w:val="00616A8F"/>
    <w:rsid w:val="006302F8"/>
    <w:rsid w:val="006545BF"/>
    <w:rsid w:val="00677557"/>
    <w:rsid w:val="0069796B"/>
    <w:rsid w:val="006A251D"/>
    <w:rsid w:val="006E53BB"/>
    <w:rsid w:val="006F4560"/>
    <w:rsid w:val="00737FFC"/>
    <w:rsid w:val="00743A43"/>
    <w:rsid w:val="00747D85"/>
    <w:rsid w:val="00817AB1"/>
    <w:rsid w:val="00826C33"/>
    <w:rsid w:val="00853BC4"/>
    <w:rsid w:val="0086762F"/>
    <w:rsid w:val="00886FCC"/>
    <w:rsid w:val="008C4DE9"/>
    <w:rsid w:val="008E5746"/>
    <w:rsid w:val="009377EA"/>
    <w:rsid w:val="00971C9D"/>
    <w:rsid w:val="009751A6"/>
    <w:rsid w:val="009832A3"/>
    <w:rsid w:val="009B03BB"/>
    <w:rsid w:val="009C13BB"/>
    <w:rsid w:val="009C2CB4"/>
    <w:rsid w:val="009D5D05"/>
    <w:rsid w:val="009E2231"/>
    <w:rsid w:val="00A26AA7"/>
    <w:rsid w:val="00A32DB6"/>
    <w:rsid w:val="00A51ABB"/>
    <w:rsid w:val="00A91987"/>
    <w:rsid w:val="00AB604A"/>
    <w:rsid w:val="00AC1176"/>
    <w:rsid w:val="00B22A96"/>
    <w:rsid w:val="00B2605B"/>
    <w:rsid w:val="00B304C3"/>
    <w:rsid w:val="00B34402"/>
    <w:rsid w:val="00B42449"/>
    <w:rsid w:val="00B44663"/>
    <w:rsid w:val="00B470C9"/>
    <w:rsid w:val="00BB5721"/>
    <w:rsid w:val="00BC183B"/>
    <w:rsid w:val="00BE4600"/>
    <w:rsid w:val="00BF6E56"/>
    <w:rsid w:val="00C21ECE"/>
    <w:rsid w:val="00C239A4"/>
    <w:rsid w:val="00C573E3"/>
    <w:rsid w:val="00C72E47"/>
    <w:rsid w:val="00C73D23"/>
    <w:rsid w:val="00CA19C6"/>
    <w:rsid w:val="00CB008F"/>
    <w:rsid w:val="00CC26DB"/>
    <w:rsid w:val="00CD4199"/>
    <w:rsid w:val="00CE3727"/>
    <w:rsid w:val="00D03C48"/>
    <w:rsid w:val="00D34218"/>
    <w:rsid w:val="00D45B3E"/>
    <w:rsid w:val="00D6162C"/>
    <w:rsid w:val="00D86CC7"/>
    <w:rsid w:val="00DB0B85"/>
    <w:rsid w:val="00DF2284"/>
    <w:rsid w:val="00E44CB1"/>
    <w:rsid w:val="00E572B1"/>
    <w:rsid w:val="00E87594"/>
    <w:rsid w:val="00EA3C26"/>
    <w:rsid w:val="00EB6E87"/>
    <w:rsid w:val="00F15677"/>
    <w:rsid w:val="00F16AAB"/>
    <w:rsid w:val="00F53EDF"/>
    <w:rsid w:val="00F740A8"/>
    <w:rsid w:val="00F74293"/>
    <w:rsid w:val="00FA32B3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B2F2"/>
  <w15:chartTrackingRefBased/>
  <w15:docId w15:val="{9D9233ED-77CE-4D0A-B26C-F450BFFD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A882-D057-4824-AC4F-C67F38D3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&amp; Morelock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dc:description/>
  <cp:lastModifiedBy>Lori Elmore</cp:lastModifiedBy>
  <cp:revision>7</cp:revision>
  <cp:lastPrinted>2025-11-20T21:12:00Z</cp:lastPrinted>
  <dcterms:created xsi:type="dcterms:W3CDTF">2025-11-18T15:09:00Z</dcterms:created>
  <dcterms:modified xsi:type="dcterms:W3CDTF">2025-12-22T20:42:00Z</dcterms:modified>
</cp:coreProperties>
</file>